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BD" w:rsidRDefault="00DD29BD" w:rsidP="00060EA2">
      <w:pPr>
        <w:spacing w:line="276" w:lineRule="auto"/>
      </w:pPr>
      <w:bookmarkStart w:id="0" w:name="_GoBack"/>
      <w:bookmarkEnd w:id="0"/>
    </w:p>
    <w:p w:rsidR="00DD29BD" w:rsidRDefault="00DB198A">
      <w:pPr>
        <w:spacing w:line="240" w:lineRule="atLeast"/>
        <w:contextualSpacing/>
        <w:jc w:val="center"/>
        <w:rPr>
          <w:b/>
        </w:rPr>
      </w:pPr>
      <w:r>
        <w:rPr>
          <w:b/>
        </w:rPr>
        <w:t>Об утверждении Порядка</w:t>
      </w:r>
    </w:p>
    <w:p w:rsidR="00DD29BD" w:rsidRDefault="00DB198A">
      <w:pPr>
        <w:spacing w:line="240" w:lineRule="atLeast"/>
        <w:contextualSpacing/>
        <w:jc w:val="center"/>
        <w:rPr>
          <w:b/>
        </w:rPr>
      </w:pPr>
      <w:r>
        <w:rPr>
          <w:b/>
        </w:rPr>
        <w:t xml:space="preserve">определения начальной (максимальной) цены контракта, </w:t>
      </w:r>
    </w:p>
    <w:p w:rsidR="00DD29BD" w:rsidRDefault="00DB198A">
      <w:pPr>
        <w:spacing w:line="240" w:lineRule="atLeast"/>
        <w:contextualSpacing/>
        <w:jc w:val="center"/>
        <w:rPr>
          <w:b/>
        </w:rPr>
      </w:pPr>
      <w:r>
        <w:rPr>
          <w:b/>
        </w:rPr>
        <w:t>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w:t>
      </w:r>
    </w:p>
    <w:p w:rsidR="00DD29BD" w:rsidRDefault="00DD29BD">
      <w:pPr>
        <w:spacing w:line="240" w:lineRule="atLeast"/>
        <w:contextualSpacing/>
        <w:jc w:val="center"/>
      </w:pPr>
    </w:p>
    <w:p w:rsidR="00DD29BD" w:rsidRDefault="00DB198A">
      <w:pPr>
        <w:spacing w:line="276" w:lineRule="auto"/>
        <w:ind w:firstLine="709"/>
        <w:jc w:val="both"/>
        <w:rPr>
          <w:b/>
          <w:spacing w:val="10"/>
          <w:szCs w:val="28"/>
        </w:rPr>
      </w:pPr>
      <w:r>
        <w:rPr>
          <w:szCs w:val="28"/>
        </w:rPr>
        <w:t>В соответствии с частью 7 статьи 110</w:t>
      </w:r>
      <w:r>
        <w:rPr>
          <w:szCs w:val="28"/>
          <w:vertAlign w:val="superscript"/>
        </w:rPr>
        <w:t>2</w:t>
      </w:r>
      <w:r>
        <w:rPr>
          <w:szCs w:val="28"/>
        </w:rPr>
        <w:t xml:space="preserve"> Федерального закона </w:t>
      </w:r>
      <w:r>
        <w:rPr>
          <w:szCs w:val="28"/>
        </w:rPr>
        <w:br/>
        <w:t>от 5 апреля 2013 г. № 44-ФЗ «О контрактной системе в сфере закупок товаров, работ, услуг для обеспечения государственных и муниципальных нужд», подпунктом 5.2.101</w:t>
      </w:r>
      <w:r>
        <w:rPr>
          <w:szCs w:val="28"/>
          <w:vertAlign w:val="superscript"/>
        </w:rPr>
        <w:t>32</w:t>
      </w:r>
      <w:r>
        <w:rPr>
          <w:szCs w:val="28"/>
        </w:rPr>
        <w:t xml:space="preserve"> пункта 5 Положения о Министерстве строительства </w:t>
      </w:r>
      <w:r>
        <w:rPr>
          <w:szCs w:val="28"/>
        </w:rPr>
        <w:br/>
        <w:t xml:space="preserve">и жилищно-коммунального хозяйства Российской Федерации, утвержденного постановлением Правительства Российской Федерации от 18 ноября 2013 г. </w:t>
      </w:r>
      <w:r>
        <w:rPr>
          <w:szCs w:val="28"/>
        </w:rPr>
        <w:br/>
        <w:t xml:space="preserve">№ 1038 и пунктом 1 постановления Правительства Российской Федерации </w:t>
      </w:r>
      <w:r>
        <w:rPr>
          <w:szCs w:val="28"/>
        </w:rPr>
        <w:br/>
        <w:t xml:space="preserve">от 11 сентября 2015 г. №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w:t>
      </w:r>
      <w:r>
        <w:rPr>
          <w:b/>
          <w:szCs w:val="28"/>
        </w:rPr>
        <w:t>п р и к а з ы в а ю:</w:t>
      </w:r>
    </w:p>
    <w:p w:rsidR="00DD29BD" w:rsidRDefault="00DB198A">
      <w:pPr>
        <w:spacing w:line="276" w:lineRule="auto"/>
        <w:ind w:firstLine="709"/>
        <w:jc w:val="both"/>
        <w:rPr>
          <w:szCs w:val="28"/>
        </w:rPr>
      </w:pPr>
      <w:r>
        <w:rPr>
          <w:szCs w:val="28"/>
        </w:rPr>
        <w:t>1. Утвердить:</w:t>
      </w:r>
    </w:p>
    <w:p w:rsidR="00DD29BD" w:rsidRDefault="00DB198A">
      <w:pPr>
        <w:spacing w:line="276" w:lineRule="auto"/>
        <w:ind w:firstLine="709"/>
        <w:jc w:val="both"/>
        <w:rPr>
          <w:szCs w:val="28"/>
        </w:rPr>
      </w:pPr>
      <w:r>
        <w:rPr>
          <w:szCs w:val="28"/>
        </w:rPr>
        <w:t>а) Порядок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(далее – Порядок) согласно приложению № 1 к настоящему приказу;</w:t>
      </w:r>
    </w:p>
    <w:p w:rsidR="00DD29BD" w:rsidRDefault="00DB198A">
      <w:pPr>
        <w:spacing w:line="276" w:lineRule="auto"/>
        <w:ind w:firstLine="709"/>
        <w:jc w:val="both"/>
        <w:rPr>
          <w:szCs w:val="28"/>
        </w:rPr>
      </w:pPr>
      <w:r>
        <w:rPr>
          <w:szCs w:val="28"/>
        </w:rPr>
        <w:t>б) Методику составления сметы контракта (далее – Методика), согласно приложению № 2 к настоящему приказу.</w:t>
      </w:r>
    </w:p>
    <w:p w:rsidR="00DD29BD" w:rsidRDefault="00DB198A">
      <w:pPr>
        <w:spacing w:line="276" w:lineRule="auto"/>
        <w:ind w:firstLine="709"/>
        <w:jc w:val="both"/>
        <w:rPr>
          <w:rFonts w:eastAsia="Times New Roman"/>
          <w:bCs/>
          <w:szCs w:val="28"/>
          <w:lang w:eastAsia="ru-RU"/>
        </w:rPr>
      </w:pPr>
      <w:r>
        <w:rPr>
          <w:szCs w:val="28"/>
        </w:rPr>
        <w:t xml:space="preserve">2. Признать утратившим силу приказ </w:t>
      </w:r>
      <w:r>
        <w:rPr>
          <w:rFonts w:eastAsia="Times New Roman"/>
          <w:bCs/>
          <w:szCs w:val="28"/>
          <w:lang w:eastAsia="ru-RU"/>
        </w:rPr>
        <w:t>Минстроя России от 23 декабря 2019 г. № 841/</w:t>
      </w:r>
      <w:proofErr w:type="spellStart"/>
      <w:r>
        <w:rPr>
          <w:rFonts w:eastAsia="Times New Roman"/>
          <w:bCs/>
          <w:szCs w:val="28"/>
          <w:lang w:eastAsia="ru-RU"/>
        </w:rPr>
        <w:t>пр</w:t>
      </w:r>
      <w:proofErr w:type="spellEnd"/>
      <w:r>
        <w:rPr>
          <w:rFonts w:eastAsia="Times New Roman"/>
          <w:bCs/>
          <w:szCs w:val="28"/>
          <w:lang w:eastAsia="ru-RU"/>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w:t>
      </w:r>
      <w:r>
        <w:rPr>
          <w:rFonts w:eastAsia="Times New Roman"/>
          <w:bCs/>
          <w:szCs w:val="28"/>
          <w:lang w:eastAsia="ru-RU"/>
        </w:rPr>
        <w:br/>
        <w:t xml:space="preserve">(за исключением территориального планирования) и Методики составления </w:t>
      </w:r>
      <w:r>
        <w:rPr>
          <w:rFonts w:eastAsia="Times New Roman"/>
          <w:bCs/>
          <w:szCs w:val="28"/>
          <w:lang w:eastAsia="ru-RU"/>
        </w:rPr>
        <w:br/>
        <w:t>сметы контракта, предметом которого являются строительство, реконструкция объектов капитального строительства»</w:t>
      </w:r>
      <w:r>
        <w:rPr>
          <w:rStyle w:val="af4"/>
          <w:rFonts w:eastAsia="Times New Roman"/>
          <w:bCs/>
          <w:szCs w:val="28"/>
          <w:lang w:eastAsia="ru-RU"/>
        </w:rPr>
        <w:footnoteReference w:id="2"/>
      </w:r>
      <w:r>
        <w:rPr>
          <w:rFonts w:eastAsia="Times New Roman"/>
          <w:bCs/>
          <w:szCs w:val="28"/>
          <w:lang w:eastAsia="ru-RU"/>
        </w:rPr>
        <w:t>.</w:t>
      </w:r>
    </w:p>
    <w:p w:rsidR="00DD29BD" w:rsidRDefault="00DB198A">
      <w:pPr>
        <w:spacing w:line="276" w:lineRule="auto"/>
        <w:ind w:firstLine="709"/>
        <w:jc w:val="both"/>
        <w:rPr>
          <w:rFonts w:eastAsia="Times New Roman"/>
          <w:bCs/>
          <w:szCs w:val="28"/>
          <w:lang w:eastAsia="ru-RU"/>
        </w:rPr>
      </w:pPr>
      <w:r>
        <w:rPr>
          <w:rFonts w:eastAsia="Times New Roman"/>
          <w:bCs/>
          <w:szCs w:val="28"/>
          <w:lang w:eastAsia="ru-RU"/>
        </w:rPr>
        <w:lastRenderedPageBreak/>
        <w:t>3. Установить, что при осуществлении закупок в сфере градостроительной деятельности (за исключением территориального планирования):</w:t>
      </w:r>
    </w:p>
    <w:p w:rsidR="00DD29BD" w:rsidRDefault="00DB198A">
      <w:pPr>
        <w:spacing w:line="276" w:lineRule="auto"/>
        <w:ind w:firstLine="709"/>
        <w:jc w:val="both"/>
        <w:rPr>
          <w:rFonts w:eastAsia="Times New Roman"/>
          <w:bCs/>
          <w:szCs w:val="28"/>
          <w:lang w:eastAsia="ru-RU"/>
        </w:rPr>
      </w:pPr>
      <w:r>
        <w:rPr>
          <w:rFonts w:eastAsia="Times New Roman"/>
          <w:bCs/>
          <w:szCs w:val="28"/>
          <w:lang w:eastAsia="ru-RU"/>
        </w:rPr>
        <w:t xml:space="preserve">1) положения порядка рекомендуется применять при формировании, утверждении и ведении в соответствии со статьей 16 Федерального закона </w:t>
      </w:r>
      <w:r>
        <w:rPr>
          <w:rFonts w:eastAsia="Times New Roman"/>
          <w:bCs/>
          <w:szCs w:val="28"/>
          <w:lang w:eastAsia="ru-RU"/>
        </w:rPr>
        <w:br/>
        <w:t xml:space="preserve">от 5 апреля 2013 г. № 44-ФЗ «О контрактной системе в сфере закупок товаров, работ, услуг для обеспечения государственных и муниципальных нужд» </w:t>
      </w:r>
      <w:r>
        <w:rPr>
          <w:rFonts w:eastAsia="Times New Roman"/>
          <w:bCs/>
          <w:szCs w:val="28"/>
          <w:lang w:eastAsia="ru-RU"/>
        </w:rPr>
        <w:br/>
        <w:t xml:space="preserve">(далее – Закон № 44-ФЗ) планов-графиков закупок, в том числе в целях включения в планы-графики закупок информации, предусмотренной пунктами 3 и 4 части 2 статьи 16 Закона № 44-ФЗ, при их формировании и изменении в соответствии </w:t>
      </w:r>
      <w:r>
        <w:rPr>
          <w:rFonts w:eastAsia="Times New Roman"/>
          <w:bCs/>
          <w:szCs w:val="28"/>
          <w:lang w:eastAsia="ru-RU"/>
        </w:rPr>
        <w:br/>
        <w:t>с частями 5 – 9 статьи 16 Закона № 44-ФЗ;</w:t>
      </w:r>
    </w:p>
    <w:p w:rsidR="00DD29BD" w:rsidRDefault="00DB198A">
      <w:pPr>
        <w:spacing w:line="276" w:lineRule="auto"/>
        <w:ind w:firstLine="709"/>
        <w:jc w:val="both"/>
        <w:rPr>
          <w:rFonts w:eastAsia="Times New Roman"/>
          <w:bCs/>
          <w:szCs w:val="28"/>
          <w:lang w:eastAsia="ru-RU"/>
        </w:rPr>
      </w:pPr>
      <w:r>
        <w:rPr>
          <w:rFonts w:eastAsia="Times New Roman"/>
          <w:bCs/>
          <w:szCs w:val="28"/>
          <w:lang w:eastAsia="ru-RU"/>
        </w:rPr>
        <w:t xml:space="preserve">2) начальная (максимальная) цена контракта, цена контракта, заключаемого с единственным поставщиком (подрядчиком, исполнителем), определенная </w:t>
      </w:r>
      <w:r>
        <w:rPr>
          <w:rFonts w:eastAsia="Times New Roman"/>
          <w:bCs/>
          <w:szCs w:val="28"/>
          <w:lang w:eastAsia="ru-RU"/>
        </w:rPr>
        <w:br/>
        <w:t xml:space="preserve">до даты вступления в силу настоящего приказа, и до размещения извещения </w:t>
      </w:r>
      <w:r>
        <w:rPr>
          <w:rFonts w:eastAsia="Times New Roman"/>
          <w:bCs/>
          <w:szCs w:val="28"/>
          <w:lang w:eastAsia="ru-RU"/>
        </w:rPr>
        <w:br/>
        <w:t xml:space="preserve">о закупке (если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предусмотрено извещение о закупке (далее – Закон № 44-ФЗ), заключения контракта с единственным поставщиком (подрядчиком, исполнителем) может быть определена в соответствии </w:t>
      </w:r>
      <w:r>
        <w:rPr>
          <w:rFonts w:eastAsia="Times New Roman"/>
          <w:bCs/>
          <w:szCs w:val="28"/>
          <w:lang w:eastAsia="ru-RU"/>
        </w:rPr>
        <w:br/>
        <w:t>с положениями Порядка, если такое решение принято заказчиком (за исключением случая, предусмотренного подпунктом 3 настоящего пункта);</w:t>
      </w:r>
    </w:p>
    <w:p w:rsidR="00DD29BD" w:rsidRDefault="00DB198A">
      <w:pPr>
        <w:spacing w:line="276" w:lineRule="auto"/>
        <w:ind w:firstLine="709"/>
        <w:jc w:val="both"/>
        <w:rPr>
          <w:rFonts w:eastAsia="Times New Roman"/>
          <w:bCs/>
          <w:szCs w:val="28"/>
          <w:lang w:eastAsia="ru-RU"/>
        </w:rPr>
      </w:pPr>
      <w:r>
        <w:rPr>
          <w:rFonts w:eastAsia="Times New Roman"/>
          <w:bCs/>
          <w:szCs w:val="28"/>
          <w:lang w:eastAsia="ru-RU"/>
        </w:rPr>
        <w:t xml:space="preserve">3) если на дату вступления в силу настоящего приказа заказчиком </w:t>
      </w:r>
      <w:r>
        <w:rPr>
          <w:rFonts w:eastAsia="Times New Roman"/>
          <w:bCs/>
          <w:szCs w:val="28"/>
          <w:lang w:eastAsia="ru-RU"/>
        </w:rPr>
        <w:br/>
        <w:t>в соответствии с частью 8 статьи 52, частью 4 статьи 77 Закона № 44-ФЗ принято решение об осуществлении новой закупки, то начальная (максимальная) цена контракта, цена контракта, заключаемого с единственным поставщиком (подрядчиком, исполнителем), определяется в соответствии с положениями порядка;</w:t>
      </w:r>
    </w:p>
    <w:p w:rsidR="00DD29BD" w:rsidRDefault="00DB198A">
      <w:pPr>
        <w:spacing w:line="276" w:lineRule="auto"/>
        <w:ind w:firstLine="709"/>
        <w:jc w:val="both"/>
        <w:rPr>
          <w:rFonts w:eastAsia="Times New Roman"/>
          <w:bCs/>
          <w:szCs w:val="28"/>
          <w:lang w:eastAsia="ru-RU"/>
        </w:rPr>
      </w:pPr>
      <w:r>
        <w:rPr>
          <w:rFonts w:eastAsia="Times New Roman"/>
          <w:bCs/>
          <w:szCs w:val="28"/>
          <w:lang w:eastAsia="ru-RU"/>
        </w:rPr>
        <w:t>4) внесение изменений в смету контракта, заключенного до дня вступления</w:t>
      </w:r>
      <w:r>
        <w:rPr>
          <w:rFonts w:eastAsia="Times New Roman"/>
          <w:bCs/>
          <w:szCs w:val="28"/>
          <w:lang w:eastAsia="ru-RU"/>
        </w:rPr>
        <w:br/>
        <w:t xml:space="preserve">в силу настоящего приказа, в связи с внесением изменений в проектную </w:t>
      </w:r>
      <w:r>
        <w:rPr>
          <w:rFonts w:eastAsia="Times New Roman"/>
          <w:bCs/>
          <w:szCs w:val="28"/>
          <w:lang w:eastAsia="ru-RU"/>
        </w:rPr>
        <w:br/>
        <w:t xml:space="preserve">и (или) иную техническую документацию, предусмотренную контрактом, осуществляется в соответствии с положениями Методики с соблюдением требований законодательства Российской Федерации и иных нормативных правовых актов о контрактной системе в сфере закупок товаров, работ, услуг </w:t>
      </w:r>
      <w:r>
        <w:rPr>
          <w:rFonts w:eastAsia="Times New Roman"/>
          <w:bCs/>
          <w:szCs w:val="28"/>
          <w:lang w:eastAsia="ru-RU"/>
        </w:rPr>
        <w:br/>
        <w:t>для обеспечения государственных и муниципальных нужд.</w:t>
      </w:r>
    </w:p>
    <w:p w:rsidR="00DD29BD" w:rsidRDefault="00DB198A">
      <w:pPr>
        <w:spacing w:line="276" w:lineRule="auto"/>
        <w:ind w:firstLine="709"/>
        <w:jc w:val="both"/>
        <w:rPr>
          <w:szCs w:val="28"/>
        </w:rPr>
      </w:pPr>
      <w:r>
        <w:rPr>
          <w:szCs w:val="28"/>
        </w:rPr>
        <w:t>4. Настоящий приказ вступает в силу с 1 июня 2026 года.</w:t>
      </w:r>
    </w:p>
    <w:p w:rsidR="00DD29BD" w:rsidRDefault="00DD29BD">
      <w:pPr>
        <w:spacing w:line="276" w:lineRule="auto"/>
        <w:ind w:firstLine="709"/>
        <w:jc w:val="both"/>
        <w:rPr>
          <w:bCs/>
          <w:spacing w:val="10"/>
          <w:szCs w:val="28"/>
        </w:rPr>
      </w:pPr>
    </w:p>
    <w:p w:rsidR="00DD29BD" w:rsidRDefault="00DD29BD">
      <w:pPr>
        <w:spacing w:line="276" w:lineRule="auto"/>
        <w:ind w:firstLine="709"/>
        <w:jc w:val="both"/>
        <w:rPr>
          <w:bCs/>
          <w:spacing w:val="10"/>
          <w:szCs w:val="28"/>
        </w:rPr>
      </w:pPr>
    </w:p>
    <w:p w:rsidR="00DD29BD" w:rsidRDefault="00DD29BD">
      <w:pPr>
        <w:spacing w:line="276" w:lineRule="auto"/>
        <w:ind w:firstLine="709"/>
        <w:jc w:val="both"/>
        <w:rPr>
          <w:bCs/>
          <w:spacing w:val="10"/>
          <w:szCs w:val="28"/>
        </w:rPr>
      </w:pPr>
    </w:p>
    <w:tbl>
      <w:tblPr>
        <w:tblW w:w="10207" w:type="dxa"/>
        <w:tblInd w:w="-147" w:type="dxa"/>
        <w:tblLook w:val="04A0" w:firstRow="1" w:lastRow="0" w:firstColumn="1" w:lastColumn="0" w:noHBand="0" w:noVBand="1"/>
      </w:tblPr>
      <w:tblGrid>
        <w:gridCol w:w="5103"/>
        <w:gridCol w:w="5104"/>
      </w:tblGrid>
      <w:tr w:rsidR="00DD29BD">
        <w:tc>
          <w:tcPr>
            <w:tcW w:w="5103" w:type="dxa"/>
          </w:tcPr>
          <w:p w:rsidR="00DD29BD" w:rsidRDefault="00DB198A">
            <w:pPr>
              <w:spacing w:line="276" w:lineRule="auto"/>
              <w:ind w:firstLine="30"/>
              <w:jc w:val="both"/>
              <w:rPr>
                <w:bCs/>
                <w:spacing w:val="10"/>
                <w:szCs w:val="28"/>
              </w:rPr>
            </w:pPr>
            <w:r>
              <w:rPr>
                <w:bCs/>
                <w:spacing w:val="10"/>
                <w:szCs w:val="28"/>
              </w:rPr>
              <w:t>Министр</w:t>
            </w:r>
          </w:p>
        </w:tc>
        <w:tc>
          <w:tcPr>
            <w:tcW w:w="5104" w:type="dxa"/>
          </w:tcPr>
          <w:p w:rsidR="00DD29BD" w:rsidRDefault="00DB198A">
            <w:pPr>
              <w:spacing w:line="276" w:lineRule="auto"/>
              <w:ind w:right="38"/>
              <w:jc w:val="right"/>
              <w:rPr>
                <w:bCs/>
                <w:spacing w:val="10"/>
                <w:szCs w:val="28"/>
              </w:rPr>
            </w:pPr>
            <w:r>
              <w:rPr>
                <w:bCs/>
                <w:spacing w:val="10"/>
                <w:szCs w:val="28"/>
              </w:rPr>
              <w:t xml:space="preserve">И.Э. </w:t>
            </w:r>
            <w:proofErr w:type="spellStart"/>
            <w:r>
              <w:rPr>
                <w:bCs/>
                <w:spacing w:val="10"/>
                <w:szCs w:val="28"/>
              </w:rPr>
              <w:t>Файзуллин</w:t>
            </w:r>
            <w:proofErr w:type="spellEnd"/>
          </w:p>
        </w:tc>
      </w:tr>
    </w:tbl>
    <w:p w:rsidR="00DD29BD" w:rsidRDefault="00DD29BD">
      <w:pPr>
        <w:spacing w:line="276" w:lineRule="auto"/>
      </w:pPr>
    </w:p>
    <w:p w:rsidR="00DD29BD" w:rsidRDefault="00DD29BD">
      <w:pPr>
        <w:spacing w:line="276" w:lineRule="auto"/>
        <w:sectPr w:rsidR="00DD29BD">
          <w:headerReference w:type="default" r:id="rId8"/>
          <w:pgSz w:w="11906" w:h="16838"/>
          <w:pgMar w:top="993" w:right="849" w:bottom="1134" w:left="1134" w:header="709" w:footer="709" w:gutter="0"/>
          <w:cols w:space="708"/>
          <w:titlePg/>
          <w:docGrid w:linePitch="360"/>
        </w:sectPr>
      </w:pPr>
    </w:p>
    <w:p w:rsidR="00DD29BD" w:rsidRDefault="00DB198A">
      <w:pPr>
        <w:widowControl w:val="0"/>
        <w:ind w:left="5245"/>
        <w:jc w:val="center"/>
        <w:rPr>
          <w:rFonts w:eastAsia="Times New Roman"/>
          <w:szCs w:val="28"/>
          <w:lang w:eastAsia="ru-RU"/>
        </w:rPr>
      </w:pPr>
      <w:r>
        <w:rPr>
          <w:rFonts w:eastAsia="Times New Roman"/>
          <w:szCs w:val="28"/>
          <w:lang w:eastAsia="ru-RU"/>
        </w:rPr>
        <w:lastRenderedPageBreak/>
        <w:t xml:space="preserve">Приложение № 1 </w:t>
      </w:r>
      <w:r>
        <w:rPr>
          <w:rFonts w:eastAsia="Times New Roman"/>
          <w:szCs w:val="28"/>
          <w:lang w:eastAsia="ru-RU"/>
        </w:rPr>
        <w:br/>
        <w:t>к приказу Минстроя России</w:t>
      </w:r>
    </w:p>
    <w:p w:rsidR="00DD29BD" w:rsidRDefault="00DD29BD">
      <w:pPr>
        <w:widowControl w:val="0"/>
        <w:ind w:left="5245"/>
        <w:rPr>
          <w:rFonts w:eastAsia="Times New Roman"/>
          <w:szCs w:val="28"/>
          <w:lang w:eastAsia="ru-RU"/>
        </w:rPr>
      </w:pPr>
    </w:p>
    <w:p w:rsidR="00DD29BD" w:rsidRDefault="00DB198A">
      <w:pPr>
        <w:ind w:left="5245" w:right="-1"/>
        <w:jc w:val="center"/>
        <w:rPr>
          <w:rFonts w:eastAsia="Times New Roman"/>
          <w:szCs w:val="28"/>
          <w:lang w:eastAsia="ru-RU"/>
        </w:rPr>
      </w:pPr>
      <w:r>
        <w:rPr>
          <w:rFonts w:eastAsia="Times New Roman"/>
          <w:szCs w:val="28"/>
          <w:lang w:eastAsia="ru-RU"/>
        </w:rPr>
        <w:t>от «___» _</w:t>
      </w:r>
      <w:r>
        <w:rPr>
          <w:rFonts w:eastAsia="Times New Roman"/>
          <w:szCs w:val="28"/>
          <w:shd w:val="clear" w:color="auto" w:fill="FFFFFF"/>
          <w:lang w:eastAsia="ru-RU"/>
        </w:rPr>
        <w:t xml:space="preserve">_______ </w:t>
      </w:r>
      <w:r>
        <w:rPr>
          <w:rFonts w:eastAsia="Times New Roman"/>
          <w:szCs w:val="28"/>
          <w:lang w:eastAsia="ru-RU"/>
        </w:rPr>
        <w:t>2025 г. № _____</w:t>
      </w:r>
    </w:p>
    <w:p w:rsidR="00DD29BD" w:rsidRDefault="00DD29BD">
      <w:pPr>
        <w:widowControl w:val="0"/>
        <w:ind w:left="5245"/>
        <w:rPr>
          <w:rFonts w:eastAsia="Times New Roman"/>
          <w:szCs w:val="28"/>
          <w:lang w:eastAsia="ru-RU"/>
        </w:rPr>
      </w:pPr>
    </w:p>
    <w:p w:rsidR="00DD29BD" w:rsidRDefault="00DD29BD">
      <w:pPr>
        <w:widowControl w:val="0"/>
        <w:ind w:left="5245"/>
        <w:rPr>
          <w:rFonts w:eastAsia="Times New Roman"/>
          <w:szCs w:val="28"/>
          <w:lang w:eastAsia="ru-RU"/>
        </w:rPr>
      </w:pPr>
    </w:p>
    <w:p w:rsidR="00DD29BD" w:rsidRDefault="00DD29BD">
      <w:pPr>
        <w:spacing w:line="276" w:lineRule="auto"/>
        <w:ind w:right="-283"/>
        <w:rPr>
          <w:rFonts w:eastAsia="Times New Roman"/>
          <w:bCs/>
          <w:szCs w:val="28"/>
          <w:lang w:eastAsia="ru-RU"/>
        </w:rPr>
      </w:pPr>
      <w:bookmarkStart w:id="1" w:name="Par32"/>
      <w:bookmarkEnd w:id="1"/>
    </w:p>
    <w:p w:rsidR="00DD29BD" w:rsidRDefault="00DB198A">
      <w:pPr>
        <w:spacing w:line="240" w:lineRule="atLeast"/>
        <w:ind w:right="-284"/>
        <w:contextualSpacing/>
        <w:jc w:val="center"/>
        <w:rPr>
          <w:b/>
        </w:rPr>
      </w:pPr>
      <w:r>
        <w:rPr>
          <w:b/>
        </w:rPr>
        <w:t xml:space="preserve">Порядок определения начальной (максимальной) цены контракта, </w:t>
      </w:r>
    </w:p>
    <w:p w:rsidR="00DD29BD" w:rsidRDefault="00DB198A">
      <w:pPr>
        <w:spacing w:line="240" w:lineRule="atLeast"/>
        <w:ind w:right="-284"/>
        <w:contextualSpacing/>
        <w:jc w:val="center"/>
        <w:rPr>
          <w:b/>
        </w:rPr>
      </w:pPr>
      <w:r>
        <w:rPr>
          <w:b/>
        </w:rPr>
        <w:t>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w:t>
      </w:r>
    </w:p>
    <w:p w:rsidR="00DD29BD" w:rsidRDefault="00DD29BD">
      <w:pPr>
        <w:spacing w:line="240" w:lineRule="atLeast"/>
        <w:ind w:right="-284"/>
        <w:contextualSpacing/>
        <w:jc w:val="center"/>
      </w:pPr>
    </w:p>
    <w:p w:rsidR="00DD29BD" w:rsidRDefault="00DB198A">
      <w:pPr>
        <w:spacing w:line="360" w:lineRule="exact"/>
        <w:ind w:right="-284"/>
        <w:contextualSpacing/>
        <w:jc w:val="center"/>
        <w:rPr>
          <w:b/>
        </w:rPr>
      </w:pPr>
      <w:r>
        <w:rPr>
          <w:b/>
          <w:lang w:val="en-US"/>
        </w:rPr>
        <w:t>I</w:t>
      </w:r>
      <w:r>
        <w:rPr>
          <w:b/>
        </w:rPr>
        <w:t>. Общие положения</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 xml:space="preserve">1. Настоящий документ устанавливает Порядок определения заказчиками </w:t>
      </w:r>
      <w:r>
        <w:br/>
        <w:t xml:space="preserve">в соответствии со статьей 22 Федерального закона от 5 апреля 2013 г. № 44-ФЗ </w:t>
      </w:r>
      <w:r>
        <w:br/>
        <w:t>«О контрактной системе в сфере закупок товаров, работ, услуг для обеспечения государственных и муниципальных нужд» (далее – Закон № 44-ФЗ) начальной (максимальной) цены контракта, цены контракта, заключаемого с единственным поставщиком (подрядчиком, исполнителем) (далее соответственно – НМЦК, Порядок), проектно-сметным методом при осуществлении в соответствии с Законом № 44-ФЗ закупок следующих работ (услуг) в сфере градостроительной деятельности (за исключением территориального планирования):</w:t>
      </w:r>
    </w:p>
    <w:p w:rsidR="00DD29BD" w:rsidRDefault="00DB198A">
      <w:pPr>
        <w:spacing w:line="360" w:lineRule="exact"/>
        <w:ind w:right="-284" w:firstLine="709"/>
        <w:contextualSpacing/>
        <w:jc w:val="both"/>
      </w:pPr>
      <w:r>
        <w:t>1) работ по строительству, реконструкции, капитальному ремонту, сносу объектов капитального строительства;</w:t>
      </w:r>
    </w:p>
    <w:p w:rsidR="00DD29BD" w:rsidRDefault="00DB198A">
      <w:pPr>
        <w:spacing w:line="360" w:lineRule="exact"/>
        <w:ind w:right="-284" w:firstLine="709"/>
        <w:contextualSpacing/>
        <w:jc w:val="both"/>
      </w:pPr>
      <w:r>
        <w:t>2)  услуг по исполнению функций технического заказчика;</w:t>
      </w:r>
    </w:p>
    <w:p w:rsidR="00DD29BD" w:rsidRDefault="00DB198A">
      <w:pPr>
        <w:spacing w:line="360" w:lineRule="exact"/>
        <w:ind w:right="-284" w:firstLine="709"/>
        <w:contextualSpacing/>
        <w:jc w:val="both"/>
      </w:pPr>
      <w:r>
        <w:t>3) услуг по проведению строительного контроля, осуществляемого заказчиком;</w:t>
      </w:r>
    </w:p>
    <w:p w:rsidR="00DD29BD" w:rsidRDefault="00DB198A">
      <w:pPr>
        <w:spacing w:line="360" w:lineRule="exact"/>
        <w:ind w:right="-284" w:firstLine="709"/>
        <w:contextualSpacing/>
        <w:jc w:val="both"/>
      </w:pPr>
      <w:r>
        <w:t xml:space="preserve">4) работ по текущему ремонту зданий, строений, сооружений, помещений, по строительству некапитальных строений и сооружений, и иных работ (услуг) в сфере градостроительной деятельности </w:t>
      </w:r>
      <w:r>
        <w:br/>
        <w:t xml:space="preserve">(за исключением территориального планирования) (если такое решение принято заказчиком), и стоимость (сметная стоимость) </w:t>
      </w:r>
      <w:r>
        <w:br/>
        <w:t>выполнения (оказания) которых определена в соответствии с частью 1 стати 8</w:t>
      </w:r>
      <w:r>
        <w:rPr>
          <w:vertAlign w:val="superscript"/>
        </w:rPr>
        <w:t>3</w:t>
      </w:r>
      <w:r>
        <w:t xml:space="preserve"> Градостроительного кодекса Российской Федерации (далее – Кодекс) с применением сметных нормативов, сведения о которых включены в федеральный реестр сметных нормативов</w:t>
      </w:r>
      <w:r>
        <w:rPr>
          <w:rStyle w:val="af4"/>
        </w:rPr>
        <w:footnoteReference w:id="3"/>
      </w:r>
      <w:r>
        <w:t xml:space="preserve">, и сметных цен строительных ресурсов, размещенных </w:t>
      </w:r>
      <w:r>
        <w:br/>
        <w:t xml:space="preserve">в федеральной государственной информационной системе ценообразования </w:t>
      </w:r>
      <w:r>
        <w:br/>
        <w:t>в строительстве</w:t>
      </w:r>
      <w:r>
        <w:rPr>
          <w:rStyle w:val="af4"/>
        </w:rPr>
        <w:footnoteReference w:id="4"/>
      </w:r>
      <w:r>
        <w:t xml:space="preserve"> (далее соответственно – ФРСН, ФГИС ЦС).</w:t>
      </w:r>
    </w:p>
    <w:p w:rsidR="00DD29BD" w:rsidRDefault="00DB198A">
      <w:pPr>
        <w:spacing w:line="360" w:lineRule="exact"/>
        <w:ind w:right="-284" w:firstLine="709"/>
        <w:contextualSpacing/>
        <w:jc w:val="both"/>
      </w:pPr>
      <w:r>
        <w:lastRenderedPageBreak/>
        <w:t xml:space="preserve">2. НМЦК, предметом которого являются указанные в пункте 1 Порядка работы (услуги) в сфере градостроительной деятельности (за исключением территориального планирования) (далее – работы (услуги), определяется проектно-сметным методом, </w:t>
      </w:r>
      <w:r>
        <w:br/>
        <w:t>за исключением случаев, при которых законодательством Российской Федерации</w:t>
      </w:r>
      <w:r>
        <w:br/>
        <w:t>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предусмотрено применение иного или нескольких методов определения НМЦК.</w:t>
      </w:r>
    </w:p>
    <w:p w:rsidR="00DD29BD" w:rsidRDefault="00DB198A">
      <w:pPr>
        <w:spacing w:line="360" w:lineRule="exact"/>
        <w:ind w:right="-284" w:firstLine="709"/>
        <w:contextualSpacing/>
        <w:jc w:val="both"/>
      </w:pPr>
      <w:r>
        <w:t xml:space="preserve">3. В целях определения НМЦК заказчиками используется сметная документация (сводка затрат, и (или) сводный сметный расчет, и (или) объектные </w:t>
      </w:r>
      <w:r>
        <w:br/>
        <w:t>и локальные сметные расчеты (сметы), и (или) сметные расчеты на отдельные виды затрат) (далее – сметная документация), содержащая сметную стоимость таких работ (услуг) по объекту закупки с учетом налога на добавленную стоимость (далее – НДС), определенную в соответствии с частью 1 статьи 8</w:t>
      </w:r>
      <w:r>
        <w:rPr>
          <w:vertAlign w:val="superscript"/>
        </w:rPr>
        <w:t>3</w:t>
      </w:r>
      <w:r>
        <w:t xml:space="preserve"> Кодекса с применением сметных нормативов, сведения о которых включены в ФРСН, и сметных цен строительных ресурсов, размещенных в ФГИС ЦС (далее – сметная стоимость), а также информация и документы, предусмотренные настоящим Порядком.</w:t>
      </w:r>
    </w:p>
    <w:p w:rsidR="00DD29BD" w:rsidRDefault="00DB198A">
      <w:pPr>
        <w:spacing w:line="360" w:lineRule="exact"/>
        <w:ind w:right="-284" w:firstLine="709"/>
        <w:contextualSpacing/>
        <w:jc w:val="both"/>
      </w:pPr>
      <w:r>
        <w:t>4. Перечень, состав и объемы работ (услуг), учитываемых при определении НМЦК, определяются заказчиком на основании технической документации</w:t>
      </w:r>
      <w:r>
        <w:rPr>
          <w:rStyle w:val="af4"/>
        </w:rPr>
        <w:footnoteReference w:id="5"/>
      </w:r>
      <w:r>
        <w:t xml:space="preserve">, </w:t>
      </w:r>
      <w:r>
        <w:br/>
        <w:t>к которой в зависимости от описания объекта закупки, в том числе относится:</w:t>
      </w:r>
    </w:p>
    <w:p w:rsidR="00DD29BD" w:rsidRDefault="00DB198A">
      <w:pPr>
        <w:spacing w:line="360" w:lineRule="exact"/>
        <w:ind w:right="-284" w:firstLine="709"/>
        <w:contextualSpacing/>
        <w:jc w:val="both"/>
      </w:pPr>
      <w:r>
        <w:t>1) проектная документация;</w:t>
      </w:r>
    </w:p>
    <w:p w:rsidR="00DD29BD" w:rsidRDefault="00DB198A">
      <w:pPr>
        <w:spacing w:line="360" w:lineRule="exact"/>
        <w:ind w:right="-284" w:firstLine="709"/>
        <w:contextualSpacing/>
        <w:jc w:val="both"/>
      </w:pPr>
      <w:r>
        <w:t xml:space="preserve">2) акт, утвержденный застройщиком или техническим заказчиком </w:t>
      </w:r>
      <w:r>
        <w:br/>
        <w:t>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DD29BD" w:rsidRDefault="00DB198A">
      <w:pPr>
        <w:spacing w:line="360" w:lineRule="exact"/>
        <w:ind w:right="-284" w:firstLine="709"/>
        <w:contextualSpacing/>
        <w:jc w:val="both"/>
      </w:pPr>
      <w:r>
        <w:t>3) проект организации работ по сносу объекта капитального строительства;</w:t>
      </w:r>
    </w:p>
    <w:p w:rsidR="00DD29BD" w:rsidRDefault="00DB198A">
      <w:pPr>
        <w:spacing w:line="360" w:lineRule="exact"/>
        <w:ind w:right="-284" w:firstLine="709"/>
        <w:contextualSpacing/>
        <w:jc w:val="both"/>
      </w:pPr>
      <w:r>
        <w:t>4) техническая документация, не указанная в подпунктах 1 – 3 настоящего пункта, определяющая перечень, состав, объемы работ (услуг), являющихся объектом закупки, а также технические, качественные, количественные и иные характеристики таких работ (услуг) (далее – техническая документация).</w:t>
      </w:r>
    </w:p>
    <w:p w:rsidR="00DD29BD" w:rsidRDefault="00DB198A">
      <w:pPr>
        <w:spacing w:line="360" w:lineRule="exact"/>
        <w:ind w:right="-284" w:firstLine="709"/>
        <w:contextualSpacing/>
        <w:jc w:val="both"/>
      </w:pPr>
      <w:r>
        <w:t xml:space="preserve">5. Если законодательством о градостроительной деятельности к технической документации и (или) сметной документации по объекту закупки, установлены требования к их составу и содержанию, требования о наличии положительного заключения государственной экспертизы проектной документации </w:t>
      </w:r>
      <w:r>
        <w:br/>
        <w:t>и (или) результатов инженерных изысканий, выполненных для подготовки такой проектной документации, при определении НМЦК используются документы составленные и утвержденные заказчиком в соответствии указанными требованиями.</w:t>
      </w:r>
    </w:p>
    <w:p w:rsidR="00DD29BD" w:rsidRDefault="00DB198A">
      <w:pPr>
        <w:spacing w:line="360" w:lineRule="exact"/>
        <w:ind w:right="-284" w:firstLine="709"/>
        <w:contextualSpacing/>
        <w:jc w:val="both"/>
      </w:pPr>
      <w:r>
        <w:lastRenderedPageBreak/>
        <w:t>6. Определение НМЦК осуществляется заказчиками после составления проекта контракта и (или) графика выполнения работ (оказания услуг) по контракту (при его наличии) (далее – график исполнения контракта).</w:t>
      </w:r>
    </w:p>
    <w:p w:rsidR="00DD29BD" w:rsidRDefault="00DB198A">
      <w:pPr>
        <w:spacing w:line="360" w:lineRule="exact"/>
        <w:ind w:right="-284" w:firstLine="709"/>
        <w:contextualSpacing/>
        <w:jc w:val="both"/>
      </w:pPr>
      <w:r>
        <w:t xml:space="preserve">7. Результат определения НМЦК оформляется и утверждается заказчиком </w:t>
      </w:r>
      <w:r>
        <w:br/>
        <w:t>в виде протокола определения НМЦК, который в том числе должен содержать:</w:t>
      </w:r>
    </w:p>
    <w:p w:rsidR="00DD29BD" w:rsidRDefault="00DB198A">
      <w:pPr>
        <w:spacing w:line="360" w:lineRule="exact"/>
        <w:ind w:right="-284" w:firstLine="709"/>
        <w:contextualSpacing/>
        <w:jc w:val="both"/>
      </w:pPr>
      <w:r>
        <w:t xml:space="preserve">1) дату (число, месяц и год) определения НМЦК (когда заказчик приступил определению НМЦК), определяющую уровень цен, сложившийся на дату (месяц </w:t>
      </w:r>
      <w:r>
        <w:br/>
        <w:t>и год) определения НМЦК (далее – дата определения НМЦК);</w:t>
      </w:r>
    </w:p>
    <w:p w:rsidR="00DD29BD" w:rsidRDefault="00DB198A">
      <w:pPr>
        <w:spacing w:line="360" w:lineRule="exact"/>
        <w:ind w:right="-284" w:firstLine="709"/>
        <w:contextualSpacing/>
        <w:jc w:val="both"/>
      </w:pPr>
      <w:r>
        <w:t xml:space="preserve">2) даты (число, месяц и год) формирования </w:t>
      </w:r>
      <w:r>
        <w:br/>
        <w:t>и утверждения протокола определения НМЦК (завершения определения НМЦК), при этом период между такими датами не может превышать 60 календарных дней;</w:t>
      </w:r>
    </w:p>
    <w:p w:rsidR="00DD29BD" w:rsidRDefault="00DB198A">
      <w:pPr>
        <w:spacing w:line="360" w:lineRule="exact"/>
        <w:ind w:right="-284" w:firstLine="709"/>
        <w:contextualSpacing/>
        <w:jc w:val="both"/>
      </w:pPr>
      <w:r>
        <w:t>3) стоимостное выражение НМЦК в рублях, которое округляется</w:t>
      </w:r>
      <w:r>
        <w:br/>
        <w:t>по математическим правилам округления до двух цифр после запятой;</w:t>
      </w:r>
    </w:p>
    <w:p w:rsidR="00DD29BD" w:rsidRDefault="00DB198A">
      <w:pPr>
        <w:spacing w:line="360" w:lineRule="exact"/>
        <w:ind w:right="-284" w:firstLine="709"/>
        <w:contextualSpacing/>
        <w:jc w:val="both"/>
      </w:pPr>
      <w:r>
        <w:t>4) информационную сноску к стоимостному выражению НМЦК, указанному</w:t>
      </w:r>
      <w:r>
        <w:br/>
        <w:t>в подпункте 3 настоящего пункта, о том, что НМЦК является равнозначной для всех участников закупки (в том числе при осуществлении закупки у единственного поставщика (подрядчика, исполнителя), независимо от применяемой ими системы налогообложения.</w:t>
      </w:r>
    </w:p>
    <w:p w:rsidR="00DD29BD" w:rsidRDefault="00DB198A">
      <w:pPr>
        <w:spacing w:line="360" w:lineRule="exact"/>
        <w:ind w:right="-284" w:firstLine="709"/>
        <w:contextualSpacing/>
        <w:jc w:val="both"/>
      </w:pPr>
      <w:r>
        <w:t xml:space="preserve">8. К протоколу определения НМЦК, указанному в пункте 7 Порядка, прилагаются расчеты, осуществленные в соответствии с настоящим Порядком, </w:t>
      </w:r>
      <w:r>
        <w:br/>
        <w:t>на основании которых определена НМЦК. При этом ставка и суммы НДС, учтенные таких расчетах, в протоколе определения НМЦК, указанном в пункте 7 Порядка, отдельно не указываются и не выделяются.</w:t>
      </w:r>
    </w:p>
    <w:p w:rsidR="00DD29BD" w:rsidRDefault="00DB198A">
      <w:pPr>
        <w:spacing w:line="360" w:lineRule="exact"/>
        <w:ind w:right="-284" w:firstLine="709"/>
        <w:contextualSpacing/>
        <w:jc w:val="both"/>
      </w:pPr>
      <w:r>
        <w:t xml:space="preserve">9. Если размер НМЦК, определенный в соответствии с настоящим Порядком, превышает предусмотренный планом-графиком закупок объем финансового обеспечения для осуществления закупки на срок исполнения контракта, утверждение протокола определения НМЦК, указанного в пункте 7 Порядка, осуществляется </w:t>
      </w:r>
      <w:r>
        <w:br/>
        <w:t>при условии приведения плана-графика (в части объема финансового обеспечения для осуществления закупки на срок исполнения контракта) в соответствие с таким размером НМЦК.</w:t>
      </w:r>
    </w:p>
    <w:p w:rsidR="00DD29BD" w:rsidRDefault="00DD29BD">
      <w:pPr>
        <w:spacing w:line="360" w:lineRule="exact"/>
        <w:ind w:right="-284" w:firstLine="709"/>
        <w:contextualSpacing/>
        <w:jc w:val="both"/>
      </w:pPr>
    </w:p>
    <w:p w:rsidR="00DD29BD" w:rsidRDefault="00DB198A">
      <w:pPr>
        <w:spacing w:line="240" w:lineRule="atLeast"/>
        <w:ind w:right="-284"/>
        <w:contextualSpacing/>
        <w:jc w:val="center"/>
        <w:rPr>
          <w:b/>
        </w:rPr>
      </w:pPr>
      <w:r>
        <w:rPr>
          <w:b/>
        </w:rPr>
        <w:t>II. Информация и показатели, используемые при осуществлении расчетов, необходимых для определения НМЦК</w:t>
      </w:r>
    </w:p>
    <w:p w:rsidR="00DD29BD" w:rsidRDefault="00DD29BD">
      <w:pPr>
        <w:spacing w:line="240" w:lineRule="atLeast"/>
        <w:ind w:right="-284"/>
        <w:contextualSpacing/>
        <w:jc w:val="center"/>
        <w:rPr>
          <w:b/>
        </w:rPr>
      </w:pPr>
    </w:p>
    <w:p w:rsidR="00DD29BD" w:rsidRDefault="00DB198A">
      <w:pPr>
        <w:spacing w:line="360" w:lineRule="exact"/>
        <w:ind w:right="-284" w:firstLine="709"/>
        <w:contextualSpacing/>
        <w:jc w:val="both"/>
      </w:pPr>
      <w:r>
        <w:t xml:space="preserve">10. В целях осуществления расчетов, необходимых для определения НМЦК, </w:t>
      </w:r>
      <w:r>
        <w:br/>
        <w:t>в формулах используются следующие показатели:</w:t>
      </w:r>
    </w:p>
    <w:p w:rsidR="00DD29BD" w:rsidRDefault="00DB198A">
      <w:pPr>
        <w:spacing w:line="360" w:lineRule="exact"/>
        <w:ind w:right="-284" w:firstLine="709"/>
        <w:contextualSpacing/>
        <w:jc w:val="both"/>
      </w:pPr>
      <w:r>
        <w:t>1) С – сметная стоимость работ (услуг), в уровне цен утвержденной сметной документации по объекту закупки, рублей;</w:t>
      </w:r>
    </w:p>
    <w:p w:rsidR="00DD29BD" w:rsidRDefault="00DB198A">
      <w:pPr>
        <w:spacing w:line="360" w:lineRule="exact"/>
        <w:ind w:right="-284" w:firstLine="709"/>
        <w:contextualSpacing/>
        <w:jc w:val="both"/>
      </w:pPr>
      <w:r>
        <w:t>2) ОФО – объем финансового обеспечения для осуществления закупки на срок исполнения контракта, предусмотренный планом-графиком закупок, рублей;</w:t>
      </w:r>
    </w:p>
    <w:p w:rsidR="00DD29BD" w:rsidRDefault="00DB198A">
      <w:pPr>
        <w:spacing w:line="360" w:lineRule="exact"/>
        <w:ind w:right="-284" w:firstLine="709"/>
        <w:contextualSpacing/>
        <w:jc w:val="both"/>
      </w:pPr>
      <w:r>
        <w:lastRenderedPageBreak/>
        <w:t xml:space="preserve">3) </w:t>
      </w:r>
      <w:proofErr w:type="spellStart"/>
      <w:r>
        <w:t>ОФОг</w:t>
      </w:r>
      <w:proofErr w:type="spellEnd"/>
      <w:r>
        <w:t xml:space="preserve"> – объем финансового обеспечения для осуществления закупки </w:t>
      </w:r>
      <w:r>
        <w:br/>
        <w:t xml:space="preserve">на срок исполнения контракта, предусмотренный планом-графиком закупок </w:t>
      </w:r>
      <w:r>
        <w:br/>
        <w:t>на соответствующий календарный год, рублей;</w:t>
      </w:r>
    </w:p>
    <w:p w:rsidR="00DD29BD" w:rsidRDefault="00DB198A">
      <w:pPr>
        <w:spacing w:line="360" w:lineRule="exact"/>
        <w:ind w:right="-284" w:firstLine="709"/>
        <w:contextualSpacing/>
        <w:jc w:val="both"/>
      </w:pPr>
      <w:r>
        <w:t xml:space="preserve">4) </w:t>
      </w:r>
      <w:r>
        <w:rPr>
          <w:lang w:val="en-US"/>
        </w:rPr>
        <w:t>D</w:t>
      </w:r>
      <w:r>
        <w:t xml:space="preserve"> – доля объема финансового обеспечения для осуществления закупки </w:t>
      </w:r>
      <w:r>
        <w:br/>
        <w:t>на срок исполнения контракта, предусмотренная планом-графиком закупок, приходящаяся на соответствующий календарный год, процент;</w:t>
      </w:r>
    </w:p>
    <w:p w:rsidR="00DD29BD" w:rsidRDefault="00DB198A">
      <w:pPr>
        <w:spacing w:line="360" w:lineRule="exact"/>
        <w:ind w:right="-284" w:firstLine="709"/>
        <w:contextualSpacing/>
        <w:jc w:val="both"/>
      </w:pPr>
      <w:r>
        <w:t xml:space="preserve">5) </w:t>
      </w:r>
      <w:proofErr w:type="spellStart"/>
      <w:r>
        <w:rPr>
          <w:sz w:val="32"/>
          <w:szCs w:val="32"/>
        </w:rPr>
        <w:t>К</w:t>
      </w:r>
      <w:r>
        <w:rPr>
          <w:sz w:val="32"/>
          <w:szCs w:val="32"/>
          <w:vertAlign w:val="subscript"/>
        </w:rPr>
        <w:t>факт</w:t>
      </w:r>
      <w:proofErr w:type="spellEnd"/>
      <w:r>
        <w:t xml:space="preserve"> – коэффициент фактической инфляции;</w:t>
      </w:r>
    </w:p>
    <w:p w:rsidR="00DD29BD" w:rsidRDefault="00DB198A">
      <w:pPr>
        <w:spacing w:line="360" w:lineRule="exact"/>
        <w:ind w:right="-284" w:firstLine="709"/>
        <w:contextualSpacing/>
        <w:jc w:val="both"/>
      </w:pPr>
      <w:r>
        <w:t xml:space="preserve">6) </w:t>
      </w:r>
      <w:proofErr w:type="spellStart"/>
      <w:r>
        <w:rPr>
          <w:sz w:val="32"/>
          <w:szCs w:val="32"/>
        </w:rPr>
        <w:t>Ц</w:t>
      </w:r>
      <w:r>
        <w:rPr>
          <w:sz w:val="32"/>
          <w:szCs w:val="32"/>
          <w:vertAlign w:val="subscript"/>
        </w:rPr>
        <w:t>факт</w:t>
      </w:r>
      <w:proofErr w:type="spellEnd"/>
      <w:r>
        <w:t xml:space="preserve"> – сметная стоимость работ (услуг) в уровне цен на дату определения НМЦК, рублей;</w:t>
      </w:r>
    </w:p>
    <w:p w:rsidR="00DD29BD" w:rsidRDefault="00DB198A">
      <w:pPr>
        <w:spacing w:line="360" w:lineRule="exact"/>
        <w:ind w:right="-284" w:firstLine="709"/>
        <w:contextualSpacing/>
        <w:jc w:val="both"/>
      </w:pPr>
      <w:r>
        <w:t xml:space="preserve">7) </w:t>
      </w:r>
      <w:proofErr w:type="spellStart"/>
      <w:r>
        <w:rPr>
          <w:sz w:val="32"/>
          <w:szCs w:val="32"/>
        </w:rPr>
        <w:t>К</w:t>
      </w:r>
      <w:r>
        <w:rPr>
          <w:sz w:val="32"/>
          <w:szCs w:val="32"/>
          <w:vertAlign w:val="subscript"/>
        </w:rPr>
        <w:t>инфл</w:t>
      </w:r>
      <w:proofErr w:type="spellEnd"/>
      <w:r>
        <w:rPr>
          <w:szCs w:val="32"/>
        </w:rPr>
        <w:t xml:space="preserve"> – </w:t>
      </w:r>
      <w:r>
        <w:t>коэффициент прогнозной инфляции.</w:t>
      </w:r>
    </w:p>
    <w:p w:rsidR="00DD29BD" w:rsidRDefault="00DB198A">
      <w:pPr>
        <w:spacing w:line="360" w:lineRule="exact"/>
        <w:ind w:right="-284" w:firstLine="709"/>
        <w:contextualSpacing/>
        <w:jc w:val="both"/>
      </w:pPr>
      <w:r>
        <w:t xml:space="preserve">11. При определении НМЦК для расчета коэффициентов фактической </w:t>
      </w:r>
      <w:r>
        <w:br/>
        <w:t>и прогнозной инфляции (</w:t>
      </w:r>
      <w:proofErr w:type="spellStart"/>
      <w:r>
        <w:rPr>
          <w:sz w:val="32"/>
          <w:szCs w:val="32"/>
        </w:rPr>
        <w:t>К</w:t>
      </w:r>
      <w:r>
        <w:rPr>
          <w:sz w:val="32"/>
          <w:szCs w:val="32"/>
          <w:vertAlign w:val="subscript"/>
        </w:rPr>
        <w:t>факт</w:t>
      </w:r>
      <w:proofErr w:type="spellEnd"/>
      <w:r>
        <w:t xml:space="preserve"> и </w:t>
      </w:r>
      <w:proofErr w:type="spellStart"/>
      <w:r>
        <w:rPr>
          <w:sz w:val="32"/>
          <w:szCs w:val="32"/>
        </w:rPr>
        <w:t>К</w:t>
      </w:r>
      <w:r>
        <w:rPr>
          <w:sz w:val="32"/>
          <w:szCs w:val="32"/>
          <w:vertAlign w:val="subscript"/>
        </w:rPr>
        <w:t>инфл</w:t>
      </w:r>
      <w:proofErr w:type="spellEnd"/>
      <w:r>
        <w:t>) используется:</w:t>
      </w:r>
    </w:p>
    <w:p w:rsidR="00DD29BD" w:rsidRDefault="00DB198A">
      <w:pPr>
        <w:spacing w:line="360" w:lineRule="exact"/>
        <w:ind w:right="-284" w:firstLine="709"/>
        <w:contextualSpacing/>
        <w:jc w:val="both"/>
      </w:pPr>
      <w:r>
        <w:t>1) официальная статистическая информация об индексах цен по группам объектов капитального строительства, публикуемая Росстатом (далее – индексы фактической инфляции «ИЦКС»)</w:t>
      </w:r>
    </w:p>
    <w:p w:rsidR="00DD29BD" w:rsidRDefault="00DB198A">
      <w:pPr>
        <w:spacing w:line="360" w:lineRule="exact"/>
        <w:ind w:right="-284" w:firstLine="709"/>
        <w:contextualSpacing/>
        <w:jc w:val="both"/>
      </w:pPr>
      <w:r>
        <w:t xml:space="preserve">2) официальная статистическая информация об индексах цен на продукцию (затраты, услуги) инвестиционного назначения, относящаяся к разделу F Общероссийского классификатора видов экономической деятельности (ОКВЭД2) </w:t>
      </w:r>
      <w:r>
        <w:br/>
        <w:t>ОК 029-2014 (КДЕС Ред. 2), по строке «Строительство» (за исключением информации, которой для идентификации группировок видов экономической деятельности, относящихся к указанному разделу ОКВЭД2, присвоено кодовое обозначение, состоящее из двух - шести цифровых знаков), публикуемая Росстатом (далее – индексы фактической инфляции «Строительство»);</w:t>
      </w:r>
    </w:p>
    <w:p w:rsidR="00DD29BD" w:rsidRDefault="00DB198A">
      <w:pPr>
        <w:spacing w:line="360" w:lineRule="exact"/>
        <w:ind w:right="-284" w:firstLine="709"/>
        <w:contextualSpacing/>
        <w:jc w:val="both"/>
      </w:pPr>
      <w:r>
        <w:t>3)</w:t>
      </w:r>
      <w:r>
        <w:rPr>
          <w:lang w:val="en-US"/>
        </w:rPr>
        <w:t> </w:t>
      </w:r>
      <w:r>
        <w:t xml:space="preserve">информация индексах фактической инфляции, публикуемая уполномоченными органами исполнительной власти субъектов </w:t>
      </w:r>
      <w:r>
        <w:br/>
        <w:t xml:space="preserve">Российской Федерации по соответствующему виду экономической деятельности </w:t>
      </w:r>
      <w:r>
        <w:br/>
        <w:t>и (или) виду подрядных работ (при наличии) (далее – индексы фактической инфляции ОИВ субъекта РФ);</w:t>
      </w:r>
    </w:p>
    <w:p w:rsidR="00DD29BD" w:rsidRDefault="00DB198A">
      <w:pPr>
        <w:spacing w:line="360" w:lineRule="exact"/>
        <w:ind w:right="-284" w:firstLine="709"/>
        <w:contextualSpacing/>
        <w:jc w:val="both"/>
      </w:pPr>
      <w:r>
        <w:t>4)  информация о прогнозных индексах цен по группам объектов капитального строительств, публикуемая Минэкономразвития России (далее –индексы прогнозной инфляции «ИЦКС»);</w:t>
      </w:r>
    </w:p>
    <w:p w:rsidR="00DD29BD" w:rsidRDefault="00DB198A">
      <w:pPr>
        <w:spacing w:line="360" w:lineRule="exact"/>
        <w:ind w:right="-284" w:firstLine="709"/>
        <w:contextualSpacing/>
        <w:jc w:val="both"/>
      </w:pPr>
      <w:r>
        <w:t>5)  информация об индексах-дефляторах по строке «Инвестиции в основной капитал (капитальные вложения)» (графы «оценка» и (или) «прогноз»), публикуемая Минэкономразвития России (далее – индексы прогнозной инфляции «Инвестиции»);</w:t>
      </w:r>
    </w:p>
    <w:p w:rsidR="00DD29BD" w:rsidRDefault="00DB198A">
      <w:pPr>
        <w:spacing w:line="360" w:lineRule="exact"/>
        <w:ind w:right="-284" w:firstLine="709"/>
        <w:contextualSpacing/>
        <w:jc w:val="both"/>
      </w:pPr>
      <w:r>
        <w:t xml:space="preserve">6) информация о индексах прогнозной инфляции, публикуемая уполномоченными органами исполнительной власти субъекта </w:t>
      </w:r>
      <w:r>
        <w:br/>
        <w:t>Российской Федерации (при наличии) (далее – индексы прогнозной инфляции ОИВ субъекта РФ).</w:t>
      </w:r>
    </w:p>
    <w:p w:rsidR="00DD29BD" w:rsidRDefault="00DD29BD">
      <w:pPr>
        <w:spacing w:line="240" w:lineRule="atLeast"/>
        <w:ind w:right="-284"/>
        <w:contextualSpacing/>
        <w:jc w:val="center"/>
        <w:rPr>
          <w:b/>
        </w:rPr>
      </w:pPr>
    </w:p>
    <w:p w:rsidR="00DD29BD" w:rsidRPr="00DB198A" w:rsidRDefault="00DD29BD">
      <w:pPr>
        <w:spacing w:line="240" w:lineRule="atLeast"/>
        <w:ind w:right="-284"/>
        <w:contextualSpacing/>
        <w:jc w:val="center"/>
        <w:rPr>
          <w:b/>
        </w:rPr>
      </w:pPr>
    </w:p>
    <w:p w:rsidR="00DD29BD" w:rsidRDefault="00DB198A">
      <w:pPr>
        <w:spacing w:line="240" w:lineRule="atLeast"/>
        <w:ind w:right="-284"/>
        <w:contextualSpacing/>
        <w:jc w:val="center"/>
        <w:rPr>
          <w:b/>
        </w:rPr>
      </w:pPr>
      <w:r>
        <w:rPr>
          <w:b/>
          <w:lang w:val="en-US"/>
        </w:rPr>
        <w:lastRenderedPageBreak/>
        <w:t>III</w:t>
      </w:r>
      <w:r>
        <w:rPr>
          <w:b/>
        </w:rPr>
        <w:t xml:space="preserve">. Общий порядок осуществления расчетов, </w:t>
      </w:r>
    </w:p>
    <w:p w:rsidR="00DD29BD" w:rsidRDefault="00DB198A">
      <w:pPr>
        <w:spacing w:line="240" w:lineRule="atLeast"/>
        <w:ind w:right="-284"/>
        <w:contextualSpacing/>
        <w:jc w:val="center"/>
        <w:rPr>
          <w:b/>
        </w:rPr>
      </w:pPr>
      <w:r>
        <w:rPr>
          <w:b/>
        </w:rPr>
        <w:t>необходимых для определения НМЦК</w:t>
      </w:r>
    </w:p>
    <w:p w:rsidR="00DD29BD" w:rsidRDefault="00DD29BD">
      <w:pPr>
        <w:spacing w:line="360" w:lineRule="exact"/>
        <w:ind w:right="-284"/>
        <w:contextualSpacing/>
        <w:jc w:val="center"/>
        <w:rPr>
          <w:b/>
        </w:rPr>
      </w:pPr>
    </w:p>
    <w:p w:rsidR="00DD29BD" w:rsidRDefault="00DB198A">
      <w:pPr>
        <w:spacing w:line="360" w:lineRule="exact"/>
        <w:ind w:right="-284" w:firstLine="709"/>
        <w:contextualSpacing/>
        <w:jc w:val="both"/>
      </w:pPr>
      <w:r>
        <w:t xml:space="preserve">12. В целях определения НМЦК расчеты осуществляются заказчиком </w:t>
      </w:r>
      <w:r>
        <w:br/>
        <w:t>в следующей последовательности:</w:t>
      </w:r>
    </w:p>
    <w:p w:rsidR="00DD29BD" w:rsidRDefault="00DB198A">
      <w:pPr>
        <w:spacing w:line="360" w:lineRule="exact"/>
        <w:ind w:right="-284" w:firstLine="709"/>
        <w:contextualSpacing/>
        <w:jc w:val="both"/>
      </w:pPr>
      <w:r>
        <w:t>1) определяется показатель С (согласно сформированному объекту закупки);</w:t>
      </w:r>
    </w:p>
    <w:p w:rsidR="00DD29BD" w:rsidRDefault="00DB198A">
      <w:pPr>
        <w:spacing w:line="360" w:lineRule="exact"/>
        <w:ind w:right="-284" w:firstLine="709"/>
        <w:contextualSpacing/>
        <w:jc w:val="both"/>
      </w:pPr>
      <w:r>
        <w:t xml:space="preserve">2) рассчитываются показатели </w:t>
      </w:r>
      <w:proofErr w:type="spellStart"/>
      <w:r>
        <w:t>К</w:t>
      </w:r>
      <w:r>
        <w:rPr>
          <w:vertAlign w:val="subscript"/>
        </w:rPr>
        <w:t>факт</w:t>
      </w:r>
      <w:proofErr w:type="spellEnd"/>
      <w:r>
        <w:t xml:space="preserve"> и </w:t>
      </w:r>
      <w:proofErr w:type="spellStart"/>
      <w:r>
        <w:t>Ц</w:t>
      </w:r>
      <w:r>
        <w:rPr>
          <w:vertAlign w:val="subscript"/>
        </w:rPr>
        <w:t>факт</w:t>
      </w:r>
      <w:proofErr w:type="spellEnd"/>
      <w:r>
        <w:t>;</w:t>
      </w:r>
    </w:p>
    <w:p w:rsidR="00DD29BD" w:rsidRDefault="00DB198A">
      <w:pPr>
        <w:spacing w:line="360" w:lineRule="exact"/>
        <w:ind w:right="-284" w:firstLine="709"/>
        <w:contextualSpacing/>
        <w:jc w:val="both"/>
      </w:pPr>
      <w:r>
        <w:t xml:space="preserve">3) на основании информации об объеме финансового обеспечения </w:t>
      </w:r>
      <w:r>
        <w:br/>
        <w:t xml:space="preserve">для осуществления закупки на срок исполнения контракта, предусмотренного планом-графиком закупок для соответствующего года исполнения контракта, рассчитывается показатель </w:t>
      </w:r>
      <w:r>
        <w:rPr>
          <w:lang w:val="en-US"/>
        </w:rPr>
        <w:t>D</w:t>
      </w:r>
      <w:r>
        <w:t>;</w:t>
      </w:r>
    </w:p>
    <w:p w:rsidR="00DD29BD" w:rsidRDefault="00DB198A">
      <w:pPr>
        <w:spacing w:line="360" w:lineRule="exact"/>
        <w:ind w:right="-284" w:firstLine="709"/>
        <w:contextualSpacing/>
        <w:jc w:val="both"/>
      </w:pPr>
      <w:r>
        <w:t xml:space="preserve">4) на основании информации о сроках исполнения обязательств, предусмотренных проектом контракта и (или) графиком исполнения контракта </w:t>
      </w:r>
      <w:r>
        <w:br/>
        <w:t xml:space="preserve">(в том числе сроков и обязательств, предшествующих дате начала выполнения работ (оказания услуг) с даты заключения контракта (при их наличии),  рассчитывается показатель </w:t>
      </w:r>
      <w:proofErr w:type="spellStart"/>
      <w:r>
        <w:t>К</w:t>
      </w:r>
      <w:r>
        <w:rPr>
          <w:vertAlign w:val="subscript"/>
        </w:rPr>
        <w:t>инфл</w:t>
      </w:r>
      <w:proofErr w:type="spellEnd"/>
      <w:r>
        <w:t xml:space="preserve"> для соответствующего года исполнения контракта;</w:t>
      </w:r>
    </w:p>
    <w:p w:rsidR="00DD29BD" w:rsidRDefault="00DB198A">
      <w:pPr>
        <w:spacing w:line="360" w:lineRule="exact"/>
        <w:ind w:right="-284" w:firstLine="709"/>
        <w:contextualSpacing/>
        <w:jc w:val="both"/>
      </w:pPr>
      <w:r>
        <w:t xml:space="preserve">5) осуществляется расчет НМЦК, результаты которого подлежат отражению </w:t>
      </w:r>
      <w:r>
        <w:br/>
        <w:t xml:space="preserve">в протоколе определения НМЦК, формируемом и утверждаемом в соответствии </w:t>
      </w:r>
      <w:r>
        <w:br/>
        <w:t>с пунктами 7 – 9 Порядка.</w:t>
      </w:r>
    </w:p>
    <w:p w:rsidR="00DD29BD" w:rsidRDefault="00DB198A">
      <w:pPr>
        <w:spacing w:line="360" w:lineRule="exact"/>
        <w:ind w:right="-284" w:firstLine="709"/>
        <w:contextualSpacing/>
        <w:jc w:val="both"/>
      </w:pPr>
      <w:r>
        <w:t xml:space="preserve">13. После определения показателя С (по объекту закупки) заказчик вправе приступить к расчету показателей </w:t>
      </w:r>
      <w:proofErr w:type="spellStart"/>
      <w:r>
        <w:t>К</w:t>
      </w:r>
      <w:r>
        <w:rPr>
          <w:vertAlign w:val="subscript"/>
        </w:rPr>
        <w:t>факт</w:t>
      </w:r>
      <w:proofErr w:type="spellEnd"/>
      <w:r>
        <w:t xml:space="preserve"> и </w:t>
      </w:r>
      <w:proofErr w:type="spellStart"/>
      <w:r>
        <w:t>Ц</w:t>
      </w:r>
      <w:r>
        <w:rPr>
          <w:vertAlign w:val="subscript"/>
        </w:rPr>
        <w:t>факт</w:t>
      </w:r>
      <w:proofErr w:type="spellEnd"/>
      <w:r>
        <w:t xml:space="preserve"> в одном из следующих случаев:</w:t>
      </w:r>
    </w:p>
    <w:p w:rsidR="00DD29BD" w:rsidRDefault="00DB198A">
      <w:pPr>
        <w:spacing w:line="360" w:lineRule="exact"/>
        <w:ind w:right="-284" w:firstLine="709"/>
        <w:contextualSpacing/>
        <w:jc w:val="both"/>
      </w:pPr>
      <w:r>
        <w:t>1) если уровень цен сметной стоимости работ (услуг) (квартал и год индексов изменения сметной стоимости строительства, примененных в утвержденной сметной документации) соответствует уровню цен (кварталу и году), сложившемуся на дату определения НМЦК;</w:t>
      </w:r>
    </w:p>
    <w:p w:rsidR="00DD29BD" w:rsidRDefault="00DB198A">
      <w:pPr>
        <w:spacing w:line="360" w:lineRule="exact"/>
        <w:ind w:right="-284" w:firstLine="709"/>
        <w:contextualSpacing/>
        <w:jc w:val="both"/>
      </w:pPr>
      <w:r>
        <w:t xml:space="preserve">2) если уровень цен сметной стоимости работ (услуг) (квартал и год индексов изменения сметной стоимости строительства, примененных в сметной документации) не соответствует уровню цен (кварталу и году) сложившемуся на дату определения НМЦК, при этом с месяца, следующего за последним месяцем квартала индексов изменения сметной стоимости строительства, примененных в сметной документации, по дату (месяц) определения НМЦК (не включительно) прошло </w:t>
      </w:r>
      <w:r>
        <w:br/>
        <w:t>не более 9-ти календарных месяцев.</w:t>
      </w:r>
    </w:p>
    <w:p w:rsidR="00DD29BD" w:rsidRDefault="00DB198A">
      <w:pPr>
        <w:spacing w:line="360" w:lineRule="exact"/>
        <w:ind w:right="-284" w:firstLine="709"/>
        <w:contextualSpacing/>
        <w:jc w:val="both"/>
      </w:pPr>
      <w:r>
        <w:t xml:space="preserve">14. Если после определения показателя С (по объекту закупки) заказчиком установлено, что уровень цен сметной стоимости работ (услуг) (квартал и год индексов изменения сметной стоимости строительства, примененных в сметной документации), </w:t>
      </w:r>
      <w:r>
        <w:br/>
        <w:t>не соответствует требования, установленным в пункте 13 Порядка:</w:t>
      </w:r>
    </w:p>
    <w:p w:rsidR="00DD29BD" w:rsidRDefault="00DB198A">
      <w:pPr>
        <w:spacing w:line="360" w:lineRule="exact"/>
        <w:ind w:right="-284" w:firstLine="709"/>
        <w:contextualSpacing/>
        <w:jc w:val="both"/>
      </w:pPr>
      <w:r>
        <w:t>1) сметная стоимость работ (услуг), пересчитывается в порядке, установленном подпунктами «в» или «г» пункта 45</w:t>
      </w:r>
      <w:r>
        <w:rPr>
          <w:vertAlign w:val="superscript"/>
        </w:rPr>
        <w:t>13</w:t>
      </w:r>
      <w:r>
        <w:t xml:space="preserve"> Положения об организации и проведении государственной экспертизы проектной документации и результатов инженерных </w:t>
      </w:r>
      <w:r>
        <w:lastRenderedPageBreak/>
        <w:t>изысканий, утвержденного постановлением Правительства Российской Федерации</w:t>
      </w:r>
      <w:r>
        <w:br/>
        <w:t>от 5 марта 2007 г. № 145,  при этом в случае, если в соответствии законодательством о градостроительной деятельности сметная стоимость работ (услуг), являющихся объектом закупки, не подлежит проверке на предмет ее достоверности в ходе проведения государственной экспертизы, то такая сметная документация пересчитывается в указанном порядке без проведения в отношении нее соответствующей государственной экспертизы;</w:t>
      </w:r>
    </w:p>
    <w:p w:rsidR="00DD29BD" w:rsidRDefault="00DB198A">
      <w:pPr>
        <w:spacing w:line="360" w:lineRule="exact"/>
        <w:ind w:right="-284" w:firstLine="709"/>
        <w:contextualSpacing/>
        <w:jc w:val="both"/>
      </w:pPr>
      <w:r>
        <w:t>2)  сметная документация, в которой сметная стоимость работ (услуг) определена базисно-индексным методом</w:t>
      </w:r>
      <w:r>
        <w:rPr>
          <w:rStyle w:val="af4"/>
        </w:rPr>
        <w:footnoteReference w:id="6"/>
      </w:r>
      <w:r>
        <w:t>, в целях пересчета сметной стоимости работ (услуг) в соответствии подпунктом 1 настоящего пункта, корректируется путем пересчета сметной стоимости работ (услуг) ресурсно-индексным методом</w:t>
      </w:r>
      <w:r>
        <w:rPr>
          <w:rStyle w:val="af4"/>
        </w:rPr>
        <w:footnoteReference w:id="7"/>
      </w:r>
      <w:r>
        <w:t>.</w:t>
      </w:r>
    </w:p>
    <w:p w:rsidR="00DD29BD" w:rsidRDefault="00DB198A">
      <w:pPr>
        <w:spacing w:line="360" w:lineRule="exact"/>
        <w:ind w:right="-284" w:firstLine="709"/>
        <w:contextualSpacing/>
        <w:jc w:val="both"/>
      </w:pPr>
      <w:r>
        <w:t xml:space="preserve">15. При наличии оснований, предусмотренных пунктом 13 Порядка, заказчик осуществляет расчет показателя </w:t>
      </w:r>
      <w:proofErr w:type="spellStart"/>
      <w:r>
        <w:rPr>
          <w:sz w:val="32"/>
          <w:szCs w:val="32"/>
        </w:rPr>
        <w:t>К</w:t>
      </w:r>
      <w:r>
        <w:rPr>
          <w:sz w:val="32"/>
          <w:szCs w:val="32"/>
          <w:vertAlign w:val="subscript"/>
        </w:rPr>
        <w:t>факт</w:t>
      </w:r>
      <w:proofErr w:type="spellEnd"/>
      <w:r>
        <w:t xml:space="preserve"> с использованием индексов фактической инфляции «ИЦКС» (за исключением случаев, установленных пунктами 16 и 17 Порядка) в одном из следующих территориальном разрезе:</w:t>
      </w:r>
    </w:p>
    <w:p w:rsidR="00DD29BD" w:rsidRDefault="00DB198A">
      <w:pPr>
        <w:spacing w:line="360" w:lineRule="exact"/>
        <w:ind w:right="-284" w:firstLine="709"/>
        <w:contextualSpacing/>
        <w:jc w:val="both"/>
      </w:pPr>
      <w:r>
        <w:t>1) в целом по субъекту Российской Федерации, в котором осуществляется выполнение работ (оказание услуг);</w:t>
      </w:r>
    </w:p>
    <w:p w:rsidR="00DD29BD" w:rsidRDefault="00DB198A">
      <w:pPr>
        <w:spacing w:line="360" w:lineRule="exact"/>
        <w:ind w:right="-284" w:firstLine="709"/>
        <w:contextualSpacing/>
        <w:jc w:val="both"/>
      </w:pPr>
      <w:r>
        <w:t>2) в целом по федеральному округу (при отсутствии информации об индексах фактической инфляции «ИЦКС» по соответствующему субъекту</w:t>
      </w:r>
      <w:r>
        <w:br/>
        <w:t>Российской Федерации, а также в случае, если выполнение работ (оказание услуг) предполагается осуществлять на территориях двух и более субъектов</w:t>
      </w:r>
      <w:r>
        <w:br/>
        <w:t>Российской Федерации, находящихся в одном федеральном округе);</w:t>
      </w:r>
    </w:p>
    <w:p w:rsidR="00DD29BD" w:rsidRDefault="00DB198A">
      <w:pPr>
        <w:spacing w:line="360" w:lineRule="exact"/>
        <w:ind w:right="-284" w:firstLine="709"/>
        <w:contextualSpacing/>
        <w:jc w:val="both"/>
      </w:pPr>
      <w:r>
        <w:t>3) в целом по Российской Федерации (при отсутствии информации об индексах фактической инфляции «ИЦКС» по соответствующему субъекту</w:t>
      </w:r>
      <w:r>
        <w:br/>
        <w:t>Российской Федерации, и (или) федеральному округу, а также в случае, если выполнение работ (оказание услуг) предполагается осуществлять на территориях двух и более субъектов Российской Федерации, находящихся в разных федеральных округах).</w:t>
      </w:r>
    </w:p>
    <w:p w:rsidR="00DD29BD" w:rsidRDefault="00DB198A">
      <w:pPr>
        <w:spacing w:line="360" w:lineRule="exact"/>
        <w:ind w:right="-284" w:firstLine="709"/>
        <w:contextualSpacing/>
        <w:jc w:val="both"/>
      </w:pPr>
      <w:r>
        <w:t xml:space="preserve">16. Если объект, в отношении которого выполняются работы (оказываются услуги), относится к группе объектов, в отношении которой отсутствуют индексы </w:t>
      </w:r>
      <w:r>
        <w:lastRenderedPageBreak/>
        <w:t xml:space="preserve">фактической инфляции «ИЦКС», заказчик осуществляет расчет показателя </w:t>
      </w:r>
      <w:proofErr w:type="spellStart"/>
      <w:r>
        <w:rPr>
          <w:sz w:val="32"/>
          <w:szCs w:val="32"/>
        </w:rPr>
        <w:t>К</w:t>
      </w:r>
      <w:r>
        <w:rPr>
          <w:sz w:val="32"/>
          <w:szCs w:val="32"/>
          <w:vertAlign w:val="subscript"/>
        </w:rPr>
        <w:t>факт</w:t>
      </w:r>
      <w:proofErr w:type="spellEnd"/>
      <w:r>
        <w:t xml:space="preserve">) </w:t>
      </w:r>
      <w:r>
        <w:br/>
        <w:t xml:space="preserve">с применением индексов фактической инфляции «Строительство», в одном </w:t>
      </w:r>
      <w:r>
        <w:br/>
        <w:t>из следующих территориальном разрезе:</w:t>
      </w:r>
    </w:p>
    <w:p w:rsidR="00DD29BD" w:rsidRDefault="00DB198A">
      <w:pPr>
        <w:spacing w:line="360" w:lineRule="exact"/>
        <w:ind w:right="-284" w:firstLine="709"/>
        <w:contextualSpacing/>
        <w:jc w:val="both"/>
      </w:pPr>
      <w:r>
        <w:t>1) по субъекту Российской Федерации, в котором осуществляется выполнение работ (оказание услуг);</w:t>
      </w:r>
    </w:p>
    <w:p w:rsidR="00DD29BD" w:rsidRDefault="00DB198A">
      <w:pPr>
        <w:spacing w:line="360" w:lineRule="exact"/>
        <w:ind w:right="-284" w:firstLine="709"/>
        <w:contextualSpacing/>
        <w:jc w:val="both"/>
      </w:pPr>
      <w:r>
        <w:t xml:space="preserve">2) в целом по федеральному округу (при отсутствии информации </w:t>
      </w:r>
      <w:r>
        <w:br/>
        <w:t xml:space="preserve">об индексах фактической инфляции «Строительство» по соответствующему субъекту Российской Федерации, а также в случае, если выполнение работ (оказание </w:t>
      </w:r>
      <w:r>
        <w:br/>
        <w:t xml:space="preserve">услуг) предполагается осуществлять на территориях двух и более субъектов </w:t>
      </w:r>
      <w:r>
        <w:br/>
        <w:t>Российской Федерации, находящихся в одном федеральном округе);</w:t>
      </w:r>
    </w:p>
    <w:p w:rsidR="00DD29BD" w:rsidRDefault="00DB198A">
      <w:pPr>
        <w:spacing w:line="360" w:lineRule="exact"/>
        <w:ind w:right="-284" w:firstLine="709"/>
        <w:contextualSpacing/>
        <w:jc w:val="both"/>
      </w:pPr>
      <w:r>
        <w:t xml:space="preserve">3) в целом по Российской Федерации (при отсутствии информации </w:t>
      </w:r>
      <w:r>
        <w:br/>
        <w:t>об индексах фактической инфляции «Строительство» по соответствующему субъекту Российской Федерации и (или) федеральному округу, а также в случае, если выполнение работ (оказание услуг) предполагается осуществлять на территориях двух и более субъектов Российской Федерации, находящихся в разных федеральных округах).</w:t>
      </w:r>
    </w:p>
    <w:p w:rsidR="00DD29BD" w:rsidRDefault="00DB198A">
      <w:pPr>
        <w:spacing w:line="360" w:lineRule="exact"/>
        <w:ind w:right="-284" w:firstLine="709"/>
        <w:contextualSpacing/>
        <w:jc w:val="both"/>
      </w:pPr>
      <w:r>
        <w:t xml:space="preserve">17. В случае, указанном в абзаце первом и подпункте 1 пункта 16 Порядка, </w:t>
      </w:r>
      <w:r>
        <w:br/>
        <w:t xml:space="preserve">и одновременно в случае, если закупка осуществляется для обеспечения нужд соответствующего субъекта Российской Федерации или муниципальных нужд муниципальных образований, находящихся на его территории, расчет показателя </w:t>
      </w:r>
      <w:proofErr w:type="spellStart"/>
      <w:r>
        <w:t>К</w:t>
      </w:r>
      <w:r>
        <w:rPr>
          <w:vertAlign w:val="subscript"/>
        </w:rPr>
        <w:t>факт</w:t>
      </w:r>
      <w:proofErr w:type="spellEnd"/>
      <w:r>
        <w:t xml:space="preserve"> заказчик вправе осуществлять с применением индексов фактической инфляции ОИВ субъекта РФ (при их наличии), при этом одновременное использование индексов фактической инфляции «Строительство» и индексов фактической инфляции ОИВ субъекта РФ не допускается.</w:t>
      </w:r>
    </w:p>
    <w:p w:rsidR="00DD29BD" w:rsidRDefault="00DB198A">
      <w:pPr>
        <w:spacing w:line="360" w:lineRule="exact"/>
        <w:ind w:right="-284" w:firstLine="709"/>
        <w:contextualSpacing/>
        <w:jc w:val="both"/>
      </w:pPr>
      <w:r>
        <w:t xml:space="preserve">18. Расчет показателя </w:t>
      </w:r>
      <w:proofErr w:type="spellStart"/>
      <w:r>
        <w:rPr>
          <w:sz w:val="32"/>
          <w:szCs w:val="32"/>
        </w:rPr>
        <w:t>К</w:t>
      </w:r>
      <w:r>
        <w:rPr>
          <w:sz w:val="32"/>
          <w:szCs w:val="32"/>
          <w:vertAlign w:val="subscript"/>
        </w:rPr>
        <w:t>факт</w:t>
      </w:r>
      <w:proofErr w:type="spellEnd"/>
      <w:r>
        <w:t xml:space="preserve"> осуществляется нарастающим итогом за период, начинающийся с первого месяца квартала (включительно) индексов изменения сметной стоимости строительства, примененных в утвержденной сметной документации, до даты (месяца) определения НМЦК (включительно) по формуле (1):</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pPr>
      <w:proofErr w:type="spellStart"/>
      <w:r>
        <w:rPr>
          <w:sz w:val="32"/>
          <w:szCs w:val="32"/>
        </w:rPr>
        <w:t>К</w:t>
      </w:r>
      <w:r>
        <w:rPr>
          <w:sz w:val="32"/>
          <w:szCs w:val="32"/>
          <w:vertAlign w:val="subscript"/>
        </w:rPr>
        <w:t>факт</w:t>
      </w:r>
      <w:proofErr w:type="spellEnd"/>
      <w:r>
        <w:rPr>
          <w:sz w:val="32"/>
          <w:szCs w:val="32"/>
        </w:rPr>
        <w:t xml:space="preserve"> = (К</w:t>
      </w:r>
      <w:r>
        <w:rPr>
          <w:sz w:val="32"/>
          <w:szCs w:val="32"/>
          <w:vertAlign w:val="subscript"/>
        </w:rPr>
        <w:t>факт.мес1</w:t>
      </w:r>
      <w:r>
        <w:rPr>
          <w:sz w:val="32"/>
          <w:szCs w:val="32"/>
        </w:rPr>
        <w:t>/</w:t>
      </w:r>
      <w:proofErr w:type="gramStart"/>
      <w:r>
        <w:rPr>
          <w:sz w:val="32"/>
          <w:szCs w:val="32"/>
        </w:rPr>
        <w:t>100)*</w:t>
      </w:r>
      <w:proofErr w:type="gramEnd"/>
      <w:r>
        <w:rPr>
          <w:sz w:val="32"/>
          <w:szCs w:val="32"/>
        </w:rPr>
        <w:t>…*(</w:t>
      </w:r>
      <w:proofErr w:type="spellStart"/>
      <w:r>
        <w:rPr>
          <w:sz w:val="32"/>
          <w:szCs w:val="32"/>
        </w:rPr>
        <w:t>К</w:t>
      </w:r>
      <w:r>
        <w:rPr>
          <w:sz w:val="32"/>
          <w:szCs w:val="32"/>
          <w:vertAlign w:val="subscript"/>
        </w:rPr>
        <w:t>факт.мес</w:t>
      </w:r>
      <w:r>
        <w:rPr>
          <w:sz w:val="32"/>
          <w:szCs w:val="32"/>
          <w:vertAlign w:val="subscript"/>
          <w:lang w:val="en-US"/>
        </w:rPr>
        <w:t>i</w:t>
      </w:r>
      <w:proofErr w:type="spellEnd"/>
      <w:r>
        <w:rPr>
          <w:sz w:val="32"/>
          <w:szCs w:val="32"/>
        </w:rPr>
        <w:t>/100)</w:t>
      </w:r>
      <w:r>
        <w:t xml:space="preserve"> (1),</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факт</w:t>
      </w:r>
      <w:proofErr w:type="spellEnd"/>
      <w:r>
        <w:t xml:space="preserve"> – коэффициент фактической инфляции;</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факт.мес</w:t>
      </w:r>
      <w:proofErr w:type="spellEnd"/>
      <w:r>
        <w:t xml:space="preserve"> – значение индекса фактической инфляции, используемого заказчиком в соответствии с пунктами 15 – 17 Порядка, на </w:t>
      </w:r>
      <w:proofErr w:type="gramStart"/>
      <w:r>
        <w:t>1,…</w:t>
      </w:r>
      <w:proofErr w:type="gramEnd"/>
      <w:r>
        <w:t xml:space="preserve">, </w:t>
      </w:r>
      <w:proofErr w:type="spellStart"/>
      <w:r>
        <w:rPr>
          <w:lang w:val="en-US"/>
        </w:rPr>
        <w:t>i</w:t>
      </w:r>
      <w:proofErr w:type="spellEnd"/>
      <w:r>
        <w:t>-й месяц.</w:t>
      </w:r>
    </w:p>
    <w:p w:rsidR="00DD29BD" w:rsidRDefault="00DB198A">
      <w:pPr>
        <w:spacing w:line="360" w:lineRule="exact"/>
        <w:ind w:right="-284" w:firstLine="709"/>
        <w:contextualSpacing/>
        <w:jc w:val="both"/>
      </w:pPr>
      <w:r>
        <w:t xml:space="preserve">19. При расчете в соответствии с пунктом 18 Порядка показателя </w:t>
      </w:r>
      <w:proofErr w:type="spellStart"/>
      <w:r>
        <w:rPr>
          <w:sz w:val="32"/>
          <w:szCs w:val="32"/>
        </w:rPr>
        <w:t>К</w:t>
      </w:r>
      <w:r>
        <w:rPr>
          <w:sz w:val="32"/>
          <w:szCs w:val="32"/>
          <w:vertAlign w:val="subscript"/>
        </w:rPr>
        <w:t>факт</w:t>
      </w:r>
      <w:proofErr w:type="spellEnd"/>
      <w:r>
        <w:t>:</w:t>
      </w:r>
    </w:p>
    <w:p w:rsidR="00DD29BD" w:rsidRDefault="00DB198A">
      <w:pPr>
        <w:spacing w:line="360" w:lineRule="exact"/>
        <w:ind w:right="-284" w:firstLine="709"/>
        <w:contextualSpacing/>
        <w:jc w:val="both"/>
      </w:pPr>
      <w:r>
        <w:t xml:space="preserve">1) информация об индексах фактической инфляции «ИЦКС», индексах фактической инфляции «Строительство», индексах фактической инфляции ОИВ </w:t>
      </w:r>
      <w:r>
        <w:lastRenderedPageBreak/>
        <w:t>субъекта РФ применяется в расчете до календарного месяца, наступившего на дату определения НМЦК (включительно);</w:t>
      </w:r>
    </w:p>
    <w:p w:rsidR="00DD29BD" w:rsidRDefault="00DB198A">
      <w:pPr>
        <w:spacing w:line="360" w:lineRule="exact"/>
        <w:ind w:right="-284" w:firstLine="709"/>
        <w:contextualSpacing/>
        <w:jc w:val="both"/>
      </w:pPr>
      <w:r>
        <w:t xml:space="preserve">2) в случае, если на дату определения НМЦК отсутствует информация </w:t>
      </w:r>
      <w:r>
        <w:br/>
        <w:t>о величине индексов фактической инфляции «ИЦКС», и (или) индексов фактической инфляции «Строительство», и (или) индексов фактической инфляции ОИВ субъекта РФ на месяц (несколько месяцев), предшествующий дате (месяцу) определения НМЦК, для каждого такого месяца применятся значение индексов фактической инфляции ИЦКС, индексов фактической инфляции «Строительство», индексов фактической инфляции ОИВ субъекта РФ в размере, установленном для последнего опубликованного месяца.</w:t>
      </w:r>
    </w:p>
    <w:p w:rsidR="00DD29BD" w:rsidRDefault="00DB198A">
      <w:pPr>
        <w:spacing w:line="360" w:lineRule="exact"/>
        <w:ind w:right="-284" w:firstLine="709"/>
        <w:contextualSpacing/>
        <w:jc w:val="both"/>
      </w:pPr>
      <w:r>
        <w:t xml:space="preserve">20. После расчета показателя </w:t>
      </w:r>
      <w:proofErr w:type="spellStart"/>
      <w:r>
        <w:t>К</w:t>
      </w:r>
      <w:r>
        <w:rPr>
          <w:vertAlign w:val="subscript"/>
        </w:rPr>
        <w:t>факт</w:t>
      </w:r>
      <w:proofErr w:type="spellEnd"/>
      <w:r>
        <w:t xml:space="preserve"> заказчик рассчитывает показатель </w:t>
      </w:r>
      <w:proofErr w:type="spellStart"/>
      <w:r>
        <w:t>Ц</w:t>
      </w:r>
      <w:r>
        <w:rPr>
          <w:vertAlign w:val="subscript"/>
        </w:rPr>
        <w:t>факт</w:t>
      </w:r>
      <w:proofErr w:type="spellEnd"/>
      <w:r>
        <w:t xml:space="preserve"> </w:t>
      </w:r>
      <w:r>
        <w:br/>
        <w:t>по формуле (2):</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pPr>
      <w:proofErr w:type="spellStart"/>
      <w:r>
        <w:rPr>
          <w:sz w:val="32"/>
          <w:szCs w:val="32"/>
        </w:rPr>
        <w:t>Ц</w:t>
      </w:r>
      <w:r>
        <w:rPr>
          <w:sz w:val="32"/>
          <w:szCs w:val="32"/>
          <w:vertAlign w:val="subscript"/>
        </w:rPr>
        <w:t>факт</w:t>
      </w:r>
      <w:proofErr w:type="spellEnd"/>
      <w:r>
        <w:rPr>
          <w:sz w:val="32"/>
          <w:szCs w:val="32"/>
        </w:rPr>
        <w:t xml:space="preserve"> = С *</w:t>
      </w:r>
      <w:proofErr w:type="spellStart"/>
      <w:r>
        <w:rPr>
          <w:sz w:val="32"/>
          <w:szCs w:val="32"/>
        </w:rPr>
        <w:t>К</w:t>
      </w:r>
      <w:r>
        <w:rPr>
          <w:sz w:val="32"/>
          <w:szCs w:val="32"/>
          <w:vertAlign w:val="subscript"/>
        </w:rPr>
        <w:t>факт</w:t>
      </w:r>
      <w:proofErr w:type="spellEnd"/>
      <w:r>
        <w:t>, (2)</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факт</w:t>
      </w:r>
      <w:proofErr w:type="spellEnd"/>
      <w:r>
        <w:t xml:space="preserve"> – сметная стоимость работ (услуг) в уровне цен, сложившемся на дату определения НМЦК;</w:t>
      </w:r>
    </w:p>
    <w:p w:rsidR="00DD29BD" w:rsidRDefault="00DB198A">
      <w:pPr>
        <w:spacing w:line="360" w:lineRule="exact"/>
        <w:ind w:right="-284" w:firstLine="709"/>
        <w:contextualSpacing/>
        <w:jc w:val="both"/>
      </w:pPr>
      <w:r>
        <w:rPr>
          <w:sz w:val="32"/>
          <w:szCs w:val="32"/>
        </w:rPr>
        <w:t>С</w:t>
      </w:r>
      <w:r>
        <w:t xml:space="preserve"> – сметная стоимость работ (услуг) в уровне цен утвержденной сметной документации по объекту закупки;</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факт</w:t>
      </w:r>
      <w:proofErr w:type="spellEnd"/>
      <w:r>
        <w:t xml:space="preserve"> – коэффициент фактической инфляции.</w:t>
      </w:r>
    </w:p>
    <w:p w:rsidR="00DD29BD" w:rsidRDefault="00DB198A">
      <w:pPr>
        <w:spacing w:line="360" w:lineRule="exact"/>
        <w:ind w:right="-284" w:firstLine="709"/>
        <w:contextualSpacing/>
        <w:jc w:val="both"/>
      </w:pPr>
      <w:r>
        <w:t xml:space="preserve">21. Для удобства дальнейших расчетов, на основании информации о сроках исполнения обязательств, предусмотренных проектом контракта и (или) графиком исполнения контракта (при его наличии), показателю </w:t>
      </w:r>
      <w:proofErr w:type="spellStart"/>
      <w:r>
        <w:t>Ц</w:t>
      </w:r>
      <w:r>
        <w:rPr>
          <w:vertAlign w:val="subscript"/>
        </w:rPr>
        <w:t>факт</w:t>
      </w:r>
      <w:proofErr w:type="spellEnd"/>
      <w:r>
        <w:rPr>
          <w:vertAlign w:val="subscript"/>
        </w:rPr>
        <w:t xml:space="preserve"> </w:t>
      </w:r>
      <w:r>
        <w:t>присваивается один из следующих дополнительных индексов:</w:t>
      </w:r>
    </w:p>
    <w:p w:rsidR="00DD29BD" w:rsidRDefault="00DB198A">
      <w:pPr>
        <w:spacing w:line="360" w:lineRule="exact"/>
        <w:ind w:right="-284" w:firstLine="709"/>
        <w:contextualSpacing/>
        <w:jc w:val="both"/>
      </w:pPr>
      <w:r>
        <w:t>1) индекс «пер» – для обязательств, предусмотренных контрактом, срок исполнения которых в соответствующем календарном году не превышает 11 месяцев (в том числе не полных) (</w:t>
      </w:r>
      <w:proofErr w:type="spellStart"/>
      <w:r>
        <w:t>Ц</w:t>
      </w:r>
      <w:r>
        <w:rPr>
          <w:vertAlign w:val="subscript"/>
        </w:rPr>
        <w:t>факт.пер</w:t>
      </w:r>
      <w:proofErr w:type="spellEnd"/>
      <w:r>
        <w:t>);</w:t>
      </w:r>
    </w:p>
    <w:p w:rsidR="00DD29BD" w:rsidRDefault="00DB198A">
      <w:pPr>
        <w:spacing w:line="360" w:lineRule="exact"/>
        <w:ind w:right="-284" w:firstLine="709"/>
        <w:contextualSpacing/>
        <w:jc w:val="both"/>
      </w:pPr>
      <w:r>
        <w:t>2) индекс «год» – для обязательств, предусмотренных контрактом, срок исполнения которых в соответствующем календарном году составляет 12 месяцев</w:t>
      </w:r>
      <w:r>
        <w:br/>
        <w:t>(в том числе не полных) (</w:t>
      </w:r>
      <w:proofErr w:type="spellStart"/>
      <w:r>
        <w:t>Ц</w:t>
      </w:r>
      <w:r>
        <w:rPr>
          <w:vertAlign w:val="subscript"/>
        </w:rPr>
        <w:t>факт.год</w:t>
      </w:r>
      <w:proofErr w:type="spellEnd"/>
      <w:r>
        <w:t>).</w:t>
      </w:r>
    </w:p>
    <w:p w:rsidR="00DD29BD" w:rsidRDefault="00DB198A">
      <w:pPr>
        <w:spacing w:line="360" w:lineRule="exact"/>
        <w:ind w:right="-284" w:firstLine="709"/>
        <w:contextualSpacing/>
        <w:jc w:val="both"/>
      </w:pPr>
      <w:r>
        <w:t xml:space="preserve">22. Если срок исполнения контракта, содержащийся в проекте контракта и (или) проекте графика исполнения контракта (при его наличии), сложившийся на дату определения НМЦК, распределяется по разным (нескольким) календарным годам исполнения контракта, то показатель </w:t>
      </w:r>
      <w:proofErr w:type="spellStart"/>
      <w:r>
        <w:t>Ц</w:t>
      </w:r>
      <w:r>
        <w:rPr>
          <w:vertAlign w:val="subscript"/>
        </w:rPr>
        <w:t>факт</w:t>
      </w:r>
      <w:proofErr w:type="spellEnd"/>
      <w:r>
        <w:t xml:space="preserve"> распределяется на каждый такой год исполнения контракта по следующей формуле (3) (за исключением случая, установленного пунктом 37 Порядка):</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center"/>
      </w:pPr>
      <w:proofErr w:type="spellStart"/>
      <w:r>
        <w:t>Ц</w:t>
      </w:r>
      <w:r>
        <w:rPr>
          <w:vertAlign w:val="subscript"/>
        </w:rPr>
        <w:t>факт</w:t>
      </w:r>
      <w:r>
        <w:rPr>
          <w:vertAlign w:val="subscript"/>
          <w:lang w:val="en-US"/>
        </w:rPr>
        <w:t>i</w:t>
      </w:r>
      <w:proofErr w:type="spellEnd"/>
      <w:r>
        <w:t xml:space="preserve"> = </w:t>
      </w:r>
      <w:proofErr w:type="spellStart"/>
      <w:r>
        <w:t>Ц</w:t>
      </w:r>
      <w:r>
        <w:rPr>
          <w:vertAlign w:val="subscript"/>
        </w:rPr>
        <w:t>факт</w:t>
      </w:r>
      <w:proofErr w:type="spellEnd"/>
      <w:r>
        <w:t>*</w:t>
      </w:r>
      <w:r>
        <w:rPr>
          <w:lang w:val="en-US"/>
        </w:rPr>
        <w:t>D</w:t>
      </w:r>
      <w:r>
        <w:rPr>
          <w:vertAlign w:val="subscript"/>
          <w:lang w:val="en-US"/>
        </w:rPr>
        <w:t>i</w:t>
      </w:r>
      <w:r>
        <w:t xml:space="preserve"> (3),</w:t>
      </w:r>
    </w:p>
    <w:p w:rsidR="00DD29BD" w:rsidRDefault="00DB198A">
      <w:pPr>
        <w:spacing w:line="360" w:lineRule="exact"/>
        <w:ind w:right="-284" w:firstLine="709"/>
        <w:contextualSpacing/>
        <w:jc w:val="both"/>
      </w:pPr>
      <w:r>
        <w:lastRenderedPageBreak/>
        <w:t>где:</w:t>
      </w:r>
    </w:p>
    <w:p w:rsidR="00DD29BD" w:rsidRDefault="00DB198A">
      <w:pPr>
        <w:spacing w:line="360" w:lineRule="exact"/>
        <w:ind w:right="-284" w:firstLine="709"/>
        <w:contextualSpacing/>
        <w:jc w:val="both"/>
      </w:pPr>
      <w:proofErr w:type="spellStart"/>
      <w:r>
        <w:t>Ц</w:t>
      </w:r>
      <w:r>
        <w:rPr>
          <w:vertAlign w:val="subscript"/>
        </w:rPr>
        <w:t>факт</w:t>
      </w:r>
      <w:r>
        <w:rPr>
          <w:vertAlign w:val="subscript"/>
          <w:lang w:val="en-US"/>
        </w:rPr>
        <w:t>i</w:t>
      </w:r>
      <w:proofErr w:type="spellEnd"/>
      <w:r>
        <w:t xml:space="preserve"> – сметная стоимость работ (услуг), в уровне цен на дату определения НМЦК, приходящаяся на </w:t>
      </w:r>
      <w:proofErr w:type="spellStart"/>
      <w:r>
        <w:rPr>
          <w:lang w:val="en-US"/>
        </w:rPr>
        <w:t>i</w:t>
      </w:r>
      <w:proofErr w:type="spellEnd"/>
      <w:r>
        <w:t>-й календарный год, рублей;</w:t>
      </w:r>
    </w:p>
    <w:p w:rsidR="00DD29BD" w:rsidRDefault="00DB198A">
      <w:pPr>
        <w:spacing w:line="360" w:lineRule="exact"/>
        <w:ind w:right="-284" w:firstLine="709"/>
        <w:contextualSpacing/>
        <w:jc w:val="both"/>
      </w:pPr>
      <w:proofErr w:type="spellStart"/>
      <w:r>
        <w:t>Ц</w:t>
      </w:r>
      <w:r>
        <w:rPr>
          <w:vertAlign w:val="subscript"/>
        </w:rPr>
        <w:t>факт</w:t>
      </w:r>
      <w:proofErr w:type="spellEnd"/>
      <w:r>
        <w:t xml:space="preserve"> – сметная стоимость работ (услуг) в уровне цен на дату определения НМЦК, рублей;</w:t>
      </w:r>
    </w:p>
    <w:p w:rsidR="00DD29BD" w:rsidRDefault="00DB198A">
      <w:pPr>
        <w:spacing w:line="360" w:lineRule="exact"/>
        <w:ind w:right="-284" w:firstLine="709"/>
        <w:contextualSpacing/>
        <w:jc w:val="both"/>
      </w:pPr>
      <w:r>
        <w:rPr>
          <w:lang w:val="en-US"/>
        </w:rPr>
        <w:t>D</w:t>
      </w:r>
      <w:r>
        <w:rPr>
          <w:vertAlign w:val="subscript"/>
          <w:lang w:val="en-US"/>
        </w:rPr>
        <w:t>i</w:t>
      </w:r>
      <w:r>
        <w:t xml:space="preserve"> – доля объема финансового обеспечения для осуществления закупки на срок исполнения контракта, предусмотренная планом-графиком закупок, приходящаяся </w:t>
      </w:r>
      <w:r>
        <w:br/>
        <w:t xml:space="preserve">на </w:t>
      </w:r>
      <w:proofErr w:type="spellStart"/>
      <w:r>
        <w:rPr>
          <w:lang w:val="en-US"/>
        </w:rPr>
        <w:t>i</w:t>
      </w:r>
      <w:proofErr w:type="spellEnd"/>
      <w:r>
        <w:t>-й календарный год, процент.</w:t>
      </w:r>
    </w:p>
    <w:p w:rsidR="00DD29BD" w:rsidRDefault="00DB198A">
      <w:pPr>
        <w:spacing w:line="360" w:lineRule="exact"/>
        <w:ind w:right="-284" w:firstLine="709"/>
        <w:contextualSpacing/>
        <w:jc w:val="both"/>
      </w:pPr>
      <w:r>
        <w:t xml:space="preserve">23. Доля объема финансового обеспечения для осуществления закупки на срок исполнения контракта, предусмотренная планом-графиком закупок, приходящаяся </w:t>
      </w:r>
      <w:r>
        <w:br/>
        <w:t>на соответствующий календарный год (</w:t>
      </w:r>
      <w:r>
        <w:rPr>
          <w:lang w:val="en-US"/>
        </w:rPr>
        <w:t>Di</w:t>
      </w:r>
      <w:r>
        <w:t>) определяется по формуле (4):</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pPr>
      <w:r>
        <w:rPr>
          <w:lang w:val="en-US"/>
        </w:rPr>
        <w:t>Di</w:t>
      </w:r>
      <w:r>
        <w:t xml:space="preserve"> = </w:t>
      </w:r>
      <w:proofErr w:type="spellStart"/>
      <w:r>
        <w:t>ОФО</w:t>
      </w:r>
      <w:r>
        <w:rPr>
          <w:vertAlign w:val="subscript"/>
        </w:rPr>
        <w:t>г</w:t>
      </w:r>
      <w:r>
        <w:rPr>
          <w:vertAlign w:val="subscript"/>
          <w:lang w:val="en-US"/>
        </w:rPr>
        <w:t>i</w:t>
      </w:r>
      <w:proofErr w:type="spellEnd"/>
      <w:r>
        <w:t>/ОФО*100%</w:t>
      </w:r>
      <w:r>
        <w:fldChar w:fldCharType="begin"/>
      </w:r>
      <w:r>
        <w:instrText xml:space="preserve"> QUOTE </w:instrText>
      </w:r>
      <m:oMath>
        <m:f>
          <m:fPr>
            <m:ctrlPr>
              <w:rPr>
                <w:rFonts w:ascii="Cambria Math" w:hAnsi="Cambria Math"/>
                <w:i/>
              </w:rPr>
            </m:ctrlPr>
          </m:fPr>
          <m:num>
            <m:r>
              <m:rPr>
                <m:sty m:val="p"/>
              </m:rPr>
              <w:rPr>
                <w:rFonts w:ascii="Cambria Math" w:hAnsi="Cambria Math"/>
              </w:rPr>
              <m:t>ОФОг</m:t>
            </m:r>
            <m:r>
              <m:rPr>
                <m:sty m:val="p"/>
              </m:rPr>
              <w:rPr>
                <w:rFonts w:ascii="Cambria Math" w:hAnsi="Cambria Math"/>
                <w:lang w:val="en-US"/>
              </w:rPr>
              <m:t>i</m:t>
            </m:r>
          </m:num>
          <m:den>
            <m:r>
              <m:rPr>
                <m:sty m:val="p"/>
              </m:rPr>
              <w:rPr>
                <w:rFonts w:ascii="Cambria Math" w:hAnsi="Cambria Math"/>
              </w:rPr>
              <m:t>JAJ</m:t>
            </m:r>
          </m:den>
        </m:f>
        <m:r>
          <m:rPr>
            <m:sty m:val="p"/>
          </m:rPr>
          <w:rPr>
            <w:rFonts w:ascii="Cambria Math" w:hAnsi="Cambria Math"/>
          </w:rPr>
          <m:t>*100</m:t>
        </m:r>
      </m:oMath>
      <w:r>
        <w:instrText xml:space="preserve"> </w:instrText>
      </w:r>
      <w:r>
        <w:fldChar w:fldCharType="end"/>
      </w:r>
      <w:r>
        <w:t xml:space="preserve"> (4),</w:t>
      </w: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r>
        <w:rPr>
          <w:lang w:val="en-US"/>
        </w:rPr>
        <w:t>D</w:t>
      </w:r>
      <w:r>
        <w:rPr>
          <w:vertAlign w:val="subscript"/>
          <w:lang w:val="en-US"/>
        </w:rPr>
        <w:t>i</w:t>
      </w:r>
      <w:r>
        <w:t xml:space="preserve"> – доля объема финансового обеспечения для осуществления закупки на срок исполнения контракта, предусмотренная планом-графиком закупок, приходящаяся </w:t>
      </w:r>
      <w:r>
        <w:br/>
        <w:t xml:space="preserve">на </w:t>
      </w:r>
      <w:proofErr w:type="spellStart"/>
      <w:r>
        <w:rPr>
          <w:lang w:val="en-US"/>
        </w:rPr>
        <w:t>i</w:t>
      </w:r>
      <w:proofErr w:type="spellEnd"/>
      <w:r>
        <w:t>-й календарный год, процент;</w:t>
      </w:r>
    </w:p>
    <w:p w:rsidR="00DD29BD" w:rsidRDefault="00DB198A">
      <w:pPr>
        <w:spacing w:line="360" w:lineRule="exact"/>
        <w:ind w:right="-284" w:firstLine="709"/>
        <w:contextualSpacing/>
        <w:jc w:val="both"/>
      </w:pPr>
      <w:r>
        <w:t>ОФО – объем финансового обеспечения для осуществления закупки на срок исполнения контракта, предусмотренный планом-графиком закупок, рублей;</w:t>
      </w:r>
    </w:p>
    <w:p w:rsidR="00DD29BD" w:rsidRDefault="00DB198A">
      <w:pPr>
        <w:spacing w:line="360" w:lineRule="exact"/>
        <w:ind w:right="-284" w:firstLine="709"/>
        <w:contextualSpacing/>
        <w:jc w:val="both"/>
      </w:pPr>
      <w:proofErr w:type="spellStart"/>
      <w:r>
        <w:t>ОФО</w:t>
      </w:r>
      <w:r>
        <w:rPr>
          <w:vertAlign w:val="subscript"/>
        </w:rPr>
        <w:t>г</w:t>
      </w:r>
      <w:r>
        <w:rPr>
          <w:vertAlign w:val="subscript"/>
          <w:lang w:val="en-US"/>
        </w:rPr>
        <w:t>i</w:t>
      </w:r>
      <w:proofErr w:type="spellEnd"/>
      <w:r>
        <w:t xml:space="preserve"> – объем финансового обеспечения для осуществления закупки на срок исполнения контракта, предусмотренный планом-графиком закупок на </w:t>
      </w:r>
      <w:proofErr w:type="spellStart"/>
      <w:r>
        <w:rPr>
          <w:lang w:val="en-US"/>
        </w:rPr>
        <w:t>i</w:t>
      </w:r>
      <w:proofErr w:type="spellEnd"/>
      <w:r>
        <w:t>-й календарный год, рублей.</w:t>
      </w:r>
    </w:p>
    <w:p w:rsidR="00DD29BD" w:rsidRDefault="00DB198A">
      <w:pPr>
        <w:spacing w:line="360" w:lineRule="exact"/>
        <w:ind w:right="-284" w:firstLine="709"/>
        <w:contextualSpacing/>
        <w:jc w:val="both"/>
      </w:pPr>
      <w:r>
        <w:t xml:space="preserve">24. В случае, установленном пунктом 23 Порядка, показатель </w:t>
      </w:r>
      <w:proofErr w:type="spellStart"/>
      <w:r>
        <w:t>Ц</w:t>
      </w:r>
      <w:r>
        <w:rPr>
          <w:vertAlign w:val="subscript"/>
        </w:rPr>
        <w:t>факт</w:t>
      </w:r>
      <w:r>
        <w:rPr>
          <w:vertAlign w:val="subscript"/>
          <w:lang w:val="en-US"/>
        </w:rPr>
        <w:t>i</w:t>
      </w:r>
      <w:proofErr w:type="spellEnd"/>
      <w:r>
        <w:t xml:space="preserve"> </w:t>
      </w:r>
      <w:r>
        <w:br/>
        <w:t>в соответствии с пунктом 21 Порядка указывается с соответствующим дополнительным индексом «пер» или «год» (</w:t>
      </w:r>
      <w:proofErr w:type="spellStart"/>
      <w:r>
        <w:t>Ц</w:t>
      </w:r>
      <w:r>
        <w:rPr>
          <w:vertAlign w:val="subscript"/>
        </w:rPr>
        <w:t>факт.год</w:t>
      </w:r>
      <w:r>
        <w:rPr>
          <w:vertAlign w:val="subscript"/>
          <w:lang w:val="en-US"/>
        </w:rPr>
        <w:t>i</w:t>
      </w:r>
      <w:proofErr w:type="spellEnd"/>
      <w:r>
        <w:t>).</w:t>
      </w:r>
    </w:p>
    <w:p w:rsidR="00DD29BD" w:rsidRDefault="00DB198A">
      <w:pPr>
        <w:spacing w:line="360" w:lineRule="exact"/>
        <w:ind w:right="-284" w:firstLine="709"/>
        <w:contextualSpacing/>
        <w:jc w:val="both"/>
      </w:pPr>
      <w:r>
        <w:t xml:space="preserve">25. Расчет показателя </w:t>
      </w:r>
      <w:proofErr w:type="spellStart"/>
      <w:r>
        <w:rPr>
          <w:sz w:val="32"/>
          <w:szCs w:val="32"/>
        </w:rPr>
        <w:t>К</w:t>
      </w:r>
      <w:r>
        <w:rPr>
          <w:sz w:val="32"/>
          <w:szCs w:val="32"/>
          <w:vertAlign w:val="subscript"/>
        </w:rPr>
        <w:t>инфл</w:t>
      </w:r>
      <w:proofErr w:type="spellEnd"/>
      <w:r>
        <w:t xml:space="preserve"> осуществляется заказчиком с использованием индексов прогнозной инфляции «ИЦКС» (за исключением случаев, установленных пунктами 26 и 27 Порядка).</w:t>
      </w:r>
    </w:p>
    <w:p w:rsidR="00DD29BD" w:rsidRDefault="00DB198A">
      <w:pPr>
        <w:spacing w:line="360" w:lineRule="exact"/>
        <w:ind w:right="-284" w:firstLine="709"/>
        <w:contextualSpacing/>
        <w:jc w:val="both"/>
      </w:pPr>
      <w:r>
        <w:t xml:space="preserve">26. Если объект, в отношении которого выполняются работы (оказываются услуги) относится к группе объектов, в отношении которой отсутствуют индексы прогнозной инфляции «ИЦКС», заказчик при расчете показателя </w:t>
      </w:r>
      <w:proofErr w:type="spellStart"/>
      <w:r>
        <w:rPr>
          <w:sz w:val="32"/>
          <w:szCs w:val="32"/>
        </w:rPr>
        <w:t>К</w:t>
      </w:r>
      <w:r>
        <w:rPr>
          <w:sz w:val="32"/>
          <w:szCs w:val="32"/>
          <w:vertAlign w:val="subscript"/>
        </w:rPr>
        <w:t>инфл</w:t>
      </w:r>
      <w:proofErr w:type="spellEnd"/>
      <w:r>
        <w:t xml:space="preserve"> использует индексы прогнозной инфляции «Инвестиции».</w:t>
      </w:r>
    </w:p>
    <w:p w:rsidR="00DD29BD" w:rsidRDefault="00DB198A">
      <w:pPr>
        <w:spacing w:line="360" w:lineRule="exact"/>
        <w:ind w:right="-284" w:firstLine="709"/>
        <w:contextualSpacing/>
        <w:jc w:val="both"/>
      </w:pPr>
      <w:r>
        <w:t xml:space="preserve">27. В случае, указанном в пункте 26 Порядка, и одновременно в случае, если закупка осуществляется для обеспечения нужд соответствующего субъекта </w:t>
      </w:r>
      <w:r>
        <w:br/>
        <w:t xml:space="preserve">Российской Федерации или муниципальных нужд муниципальных образований, находящихся на его территории, заказчик при расчете показателя </w:t>
      </w:r>
      <w:proofErr w:type="spellStart"/>
      <w:r>
        <w:rPr>
          <w:sz w:val="32"/>
          <w:szCs w:val="32"/>
        </w:rPr>
        <w:t>К</w:t>
      </w:r>
      <w:r>
        <w:rPr>
          <w:sz w:val="32"/>
          <w:szCs w:val="32"/>
          <w:vertAlign w:val="subscript"/>
        </w:rPr>
        <w:t>инфл</w:t>
      </w:r>
      <w:proofErr w:type="spellEnd"/>
      <w:r>
        <w:t xml:space="preserve"> вправе использовать индексы прогнозной инфляции ОИВ субъекта РФ (при их наличии), при этом одновременное использование индексов прогнозной инфляции</w:t>
      </w:r>
      <w:r>
        <w:br/>
        <w:t>ОИВ субъекта РФ и индексов прогнозной инфляции «Инвестиции» не допускается.</w:t>
      </w:r>
    </w:p>
    <w:p w:rsidR="00DD29BD" w:rsidRDefault="00DB198A">
      <w:pPr>
        <w:spacing w:line="360" w:lineRule="exact"/>
        <w:ind w:right="-284" w:firstLine="709"/>
        <w:contextualSpacing/>
        <w:jc w:val="both"/>
      </w:pPr>
      <w:r>
        <w:lastRenderedPageBreak/>
        <w:t xml:space="preserve">28. Показатель </w:t>
      </w:r>
      <w:proofErr w:type="spellStart"/>
      <w:r>
        <w:rPr>
          <w:sz w:val="32"/>
          <w:szCs w:val="32"/>
        </w:rPr>
        <w:t>К</w:t>
      </w:r>
      <w:r>
        <w:rPr>
          <w:sz w:val="32"/>
          <w:szCs w:val="32"/>
          <w:vertAlign w:val="subscript"/>
        </w:rPr>
        <w:t>инфл</w:t>
      </w:r>
      <w:proofErr w:type="spellEnd"/>
      <w:r>
        <w:t xml:space="preserve"> рассчитываемся и </w:t>
      </w:r>
      <w:proofErr w:type="spellStart"/>
      <w:r>
        <w:t>применяетсяс</w:t>
      </w:r>
      <w:proofErr w:type="spellEnd"/>
      <w:r>
        <w:t xml:space="preserve"> месяца, следующего</w:t>
      </w:r>
      <w:r>
        <w:br/>
        <w:t>за датой (месяцем) определения НМЦК.</w:t>
      </w:r>
    </w:p>
    <w:p w:rsidR="00DD29BD" w:rsidRDefault="00DB198A">
      <w:pPr>
        <w:spacing w:line="360" w:lineRule="exact"/>
        <w:ind w:right="-284" w:firstLine="709"/>
        <w:contextualSpacing/>
        <w:jc w:val="both"/>
      </w:pPr>
      <w:r>
        <w:t xml:space="preserve">Если условиями контракта предусмотрены обязательства заказчика </w:t>
      </w:r>
      <w:r>
        <w:br/>
        <w:t xml:space="preserve">и (или), исполнение которых осуществляется после передачи подрядчиком (исполнителем) результата исполнения контракта заказчику (завершения выполнения работ (оказания услуг), сроки исполнения таких обязательств, в том числе сроки, </w:t>
      </w:r>
      <w:r>
        <w:rPr>
          <w:color w:val="000000"/>
          <w:szCs w:val="28"/>
        </w:rPr>
        <w:t xml:space="preserve">в течение которых заказчиком осуществляется приемка завершенного исполнением результата выполнения работ (оказания услуг), предусмотренного таким контрактом, </w:t>
      </w:r>
      <w:r>
        <w:rPr>
          <w:color w:val="000000"/>
          <w:szCs w:val="28"/>
        </w:rPr>
        <w:br/>
        <w:t xml:space="preserve">и подписывается документ о приемке, являющийся последним документом </w:t>
      </w:r>
      <w:r>
        <w:rPr>
          <w:color w:val="000000"/>
          <w:szCs w:val="28"/>
        </w:rPr>
        <w:br/>
        <w:t xml:space="preserve">о приемке, составленным при исполнении такого контракта, </w:t>
      </w:r>
      <w:r>
        <w:t xml:space="preserve">не учитываются заказчиком при расчете показателя </w:t>
      </w:r>
      <w:proofErr w:type="spellStart"/>
      <w:r>
        <w:rPr>
          <w:sz w:val="32"/>
          <w:szCs w:val="32"/>
        </w:rPr>
        <w:t>К</w:t>
      </w:r>
      <w:r>
        <w:rPr>
          <w:sz w:val="32"/>
          <w:szCs w:val="32"/>
          <w:vertAlign w:val="subscript"/>
        </w:rPr>
        <w:t>инфл</w:t>
      </w:r>
      <w:proofErr w:type="spellEnd"/>
      <w:r>
        <w:t>.</w:t>
      </w:r>
    </w:p>
    <w:p w:rsidR="00DD29BD" w:rsidRDefault="00DB198A">
      <w:pPr>
        <w:spacing w:line="360" w:lineRule="exact"/>
        <w:ind w:right="-284" w:firstLine="709"/>
        <w:contextualSpacing/>
        <w:jc w:val="both"/>
      </w:pPr>
      <w:r>
        <w:t xml:space="preserve">29. Для каждого показателя </w:t>
      </w:r>
      <w:proofErr w:type="spellStart"/>
      <w:r>
        <w:t>Ц</w:t>
      </w:r>
      <w:r>
        <w:rPr>
          <w:vertAlign w:val="subscript"/>
        </w:rPr>
        <w:t>факт</w:t>
      </w:r>
      <w:proofErr w:type="spellEnd"/>
      <w:r>
        <w:t xml:space="preserve"> показатель </w:t>
      </w:r>
      <w:proofErr w:type="spellStart"/>
      <w:r>
        <w:rPr>
          <w:sz w:val="32"/>
          <w:szCs w:val="32"/>
        </w:rPr>
        <w:t>К</w:t>
      </w:r>
      <w:r>
        <w:rPr>
          <w:sz w:val="32"/>
          <w:szCs w:val="32"/>
          <w:vertAlign w:val="subscript"/>
        </w:rPr>
        <w:t>инфл</w:t>
      </w:r>
      <w:proofErr w:type="spellEnd"/>
      <w:r>
        <w:t xml:space="preserve"> указывается</w:t>
      </w:r>
      <w:r>
        <w:br/>
        <w:t>с дополнительным индексом «пер» или «год» (</w:t>
      </w:r>
      <w:proofErr w:type="spellStart"/>
      <w:r>
        <w:t>К</w:t>
      </w:r>
      <w:r>
        <w:rPr>
          <w:vertAlign w:val="subscript"/>
        </w:rPr>
        <w:t>инфл.пер</w:t>
      </w:r>
      <w:proofErr w:type="spellEnd"/>
      <w:r>
        <w:rPr>
          <w:vertAlign w:val="subscript"/>
        </w:rPr>
        <w:t xml:space="preserve"> </w:t>
      </w:r>
      <w:r>
        <w:t xml:space="preserve">или </w:t>
      </w:r>
      <w:proofErr w:type="spellStart"/>
      <w:r>
        <w:t>К</w:t>
      </w:r>
      <w:r>
        <w:rPr>
          <w:vertAlign w:val="subscript"/>
        </w:rPr>
        <w:t>инфл.год</w:t>
      </w:r>
      <w:proofErr w:type="spellEnd"/>
      <w:r>
        <w:t xml:space="preserve">), аналогичным дополнительному индексу показателя </w:t>
      </w:r>
      <w:proofErr w:type="spellStart"/>
      <w:r>
        <w:t>Ц</w:t>
      </w:r>
      <w:r>
        <w:rPr>
          <w:vertAlign w:val="subscript"/>
        </w:rPr>
        <w:t>факт</w:t>
      </w:r>
      <w:proofErr w:type="spellEnd"/>
      <w:r>
        <w:t>, и рассчитывается по одной из следующих формул:</w:t>
      </w:r>
    </w:p>
    <w:p w:rsidR="00DD29BD" w:rsidRDefault="00DB198A">
      <w:pPr>
        <w:spacing w:line="360" w:lineRule="exact"/>
        <w:ind w:right="-284" w:firstLine="709"/>
        <w:contextualSpacing/>
        <w:jc w:val="both"/>
      </w:pPr>
      <w:r>
        <w:t>1) </w:t>
      </w:r>
      <w:r>
        <w:rPr>
          <w:vertAlign w:val="subscript"/>
        </w:rPr>
        <w:t xml:space="preserve"> </w:t>
      </w:r>
      <w:r>
        <w:t xml:space="preserve">показатель </w:t>
      </w:r>
      <w:proofErr w:type="spellStart"/>
      <w:r>
        <w:rPr>
          <w:sz w:val="32"/>
          <w:szCs w:val="32"/>
        </w:rPr>
        <w:t>К</w:t>
      </w:r>
      <w:r>
        <w:rPr>
          <w:sz w:val="32"/>
          <w:szCs w:val="32"/>
          <w:vertAlign w:val="subscript"/>
        </w:rPr>
        <w:t>инфл</w:t>
      </w:r>
      <w:proofErr w:type="spellEnd"/>
      <w:r>
        <w:rPr>
          <w:sz w:val="32"/>
          <w:szCs w:val="32"/>
          <w:vertAlign w:val="subscript"/>
        </w:rPr>
        <w:t xml:space="preserve"> </w:t>
      </w:r>
      <w:r>
        <w:rPr>
          <w:szCs w:val="32"/>
        </w:rPr>
        <w:t xml:space="preserve">с дополнительным индексом «год» </w:t>
      </w:r>
      <w:r>
        <w:rPr>
          <w:sz w:val="32"/>
          <w:szCs w:val="32"/>
        </w:rPr>
        <w:t>(</w:t>
      </w:r>
      <w:proofErr w:type="spellStart"/>
      <w:r>
        <w:t>К</w:t>
      </w:r>
      <w:r>
        <w:rPr>
          <w:vertAlign w:val="subscript"/>
        </w:rPr>
        <w:t>инфл.год</w:t>
      </w:r>
      <w:proofErr w:type="spellEnd"/>
      <w:r>
        <w:rPr>
          <w:sz w:val="32"/>
          <w:szCs w:val="32"/>
        </w:rPr>
        <w:t xml:space="preserve">) </w:t>
      </w:r>
      <w:r>
        <w:rPr>
          <w:szCs w:val="28"/>
        </w:rPr>
        <w:t xml:space="preserve">рассчитывается </w:t>
      </w:r>
      <w:r>
        <w:t>по формуле (5):</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pPr>
      <w:proofErr w:type="spellStart"/>
      <w:r>
        <w:rPr>
          <w:sz w:val="32"/>
          <w:szCs w:val="32"/>
        </w:rPr>
        <w:t>К</w:t>
      </w:r>
      <w:r>
        <w:rPr>
          <w:sz w:val="32"/>
          <w:szCs w:val="32"/>
          <w:vertAlign w:val="subscript"/>
        </w:rPr>
        <w:t>инфл.год</w:t>
      </w:r>
      <w:proofErr w:type="spellEnd"/>
      <w:r>
        <w:rPr>
          <w:sz w:val="32"/>
          <w:szCs w:val="32"/>
        </w:rPr>
        <w:t xml:space="preserve"> = </w:t>
      </w:r>
      <w:proofErr w:type="spellStart"/>
      <w:r>
        <w:rPr>
          <w:sz w:val="32"/>
          <w:szCs w:val="32"/>
        </w:rPr>
        <w:t>К</w:t>
      </w:r>
      <w:r>
        <w:rPr>
          <w:sz w:val="32"/>
          <w:szCs w:val="32"/>
          <w:vertAlign w:val="subscript"/>
        </w:rPr>
        <w:t>инфл</w:t>
      </w:r>
      <w:r>
        <w:rPr>
          <w:sz w:val="32"/>
          <w:szCs w:val="32"/>
          <w:vertAlign w:val="subscript"/>
          <w:lang w:val="en-US"/>
        </w:rPr>
        <w:t>i</w:t>
      </w:r>
      <w:proofErr w:type="spellEnd"/>
      <w:r>
        <w:rPr>
          <w:sz w:val="32"/>
          <w:szCs w:val="32"/>
        </w:rPr>
        <w:t>/100%</w:t>
      </w:r>
      <w:r>
        <w:t>, (5)</w:t>
      </w: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инфл.год</w:t>
      </w:r>
      <w:r>
        <w:rPr>
          <w:sz w:val="32"/>
          <w:szCs w:val="32"/>
          <w:vertAlign w:val="subscript"/>
          <w:lang w:val="en-US"/>
        </w:rPr>
        <w:t>i</w:t>
      </w:r>
      <w:proofErr w:type="spellEnd"/>
      <w:r>
        <w:rPr>
          <w:sz w:val="32"/>
          <w:szCs w:val="32"/>
          <w:vertAlign w:val="subscript"/>
        </w:rPr>
        <w:t xml:space="preserve"> </w:t>
      </w:r>
      <w:r>
        <w:t>– коэффициент прогнозной инфляции;</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w:t>
      </w:r>
      <w:r>
        <w:rPr>
          <w:sz w:val="32"/>
          <w:szCs w:val="32"/>
          <w:vertAlign w:val="subscript"/>
          <w:lang w:val="en-US"/>
        </w:rPr>
        <w:t>i</w:t>
      </w:r>
      <w:proofErr w:type="spellEnd"/>
      <w:r>
        <w:t xml:space="preserve"> – опубликованный на соответствующий календарный год индекс прогнозной инфляции, используемый заказчиком в соответствии с пунктами 25 - 27 Порядка;</w:t>
      </w:r>
    </w:p>
    <w:p w:rsidR="00DD29BD" w:rsidRDefault="00DB198A">
      <w:pPr>
        <w:spacing w:line="360" w:lineRule="exact"/>
        <w:ind w:right="-284" w:firstLine="709"/>
        <w:contextualSpacing/>
        <w:jc w:val="both"/>
      </w:pPr>
      <w:r>
        <w:t xml:space="preserve">2) показатель </w:t>
      </w:r>
      <w:proofErr w:type="spellStart"/>
      <w:r>
        <w:rPr>
          <w:sz w:val="32"/>
          <w:szCs w:val="32"/>
        </w:rPr>
        <w:t>К</w:t>
      </w:r>
      <w:r>
        <w:rPr>
          <w:sz w:val="32"/>
          <w:szCs w:val="32"/>
          <w:vertAlign w:val="subscript"/>
        </w:rPr>
        <w:t>инфл</w:t>
      </w:r>
      <w:proofErr w:type="spellEnd"/>
      <w:r>
        <w:rPr>
          <w:vertAlign w:val="subscript"/>
        </w:rPr>
        <w:t xml:space="preserve"> </w:t>
      </w:r>
      <w:r>
        <w:rPr>
          <w:szCs w:val="32"/>
        </w:rPr>
        <w:t xml:space="preserve">с дополнительным индексом «пер» </w:t>
      </w:r>
      <w:r>
        <w:rPr>
          <w:sz w:val="32"/>
          <w:szCs w:val="32"/>
        </w:rPr>
        <w:t>(</w:t>
      </w:r>
      <w:proofErr w:type="spellStart"/>
      <w:r>
        <w:t>К</w:t>
      </w:r>
      <w:r>
        <w:rPr>
          <w:vertAlign w:val="subscript"/>
        </w:rPr>
        <w:t>инфл.пер</w:t>
      </w:r>
      <w:proofErr w:type="spellEnd"/>
      <w:r>
        <w:rPr>
          <w:sz w:val="32"/>
          <w:szCs w:val="32"/>
        </w:rPr>
        <w:t xml:space="preserve">) </w:t>
      </w:r>
      <w:r>
        <w:t>определяется по формуле (6):</w:t>
      </w:r>
    </w:p>
    <w:p w:rsidR="00DD29BD" w:rsidRDefault="00DB198A">
      <w:pPr>
        <w:pStyle w:val="ConsPlusNormal"/>
        <w:spacing w:before="240"/>
        <w:jc w:val="center"/>
      </w:pP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инфл.пер</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m:oMath>
        <m:r>
          <w:rPr>
            <w:rFonts w:ascii="Cambria Math" w:hAnsi="Cambria Math"/>
            <w:szCs w:val="28"/>
          </w:rPr>
          <m:t xml:space="preserve"> </m:t>
        </m:r>
        <m:sSup>
          <m:sSupPr>
            <m:ctrlPr>
              <w:rPr>
                <w:rFonts w:ascii="Cambria Math" w:hAnsi="Cambria Math"/>
                <w:i/>
                <w:szCs w:val="28"/>
              </w:rPr>
            </m:ctrlPr>
          </m:sSupPr>
          <m:e>
            <m:d>
              <m:dPr>
                <m:ctrlPr>
                  <w:rPr>
                    <w:rFonts w:ascii="Cambria Math" w:hAnsi="Cambria Math"/>
                    <w:i/>
                    <w:szCs w:val="28"/>
                  </w:rPr>
                </m:ctrlPr>
              </m:dPr>
              <m:e>
                <m:rad>
                  <m:radPr>
                    <m:ctrlPr>
                      <w:rPr>
                        <w:rFonts w:ascii="Cambria Math" w:hAnsi="Cambria Math"/>
                        <w:i/>
                        <w:szCs w:val="28"/>
                      </w:rPr>
                    </m:ctrlPr>
                  </m:radPr>
                  <m:deg>
                    <m:r>
                      <w:rPr>
                        <w:rFonts w:ascii="Cambria Math" w:hAnsi="Cambria Math"/>
                        <w:szCs w:val="28"/>
                      </w:rPr>
                      <m:t>12</m:t>
                    </m:r>
                  </m:deg>
                  <m:e>
                    <m:r>
                      <w:rPr>
                        <w:rFonts w:ascii="Cambria Math" w:hAnsi="Cambria Math"/>
                        <w:szCs w:val="28"/>
                      </w:rPr>
                      <m:t>Кинфл/100%</m:t>
                    </m:r>
                  </m:e>
                </m:rad>
                <m:r>
                  <w:rPr>
                    <w:rFonts w:ascii="Cambria Math" w:hAnsi="Cambria Math"/>
                    <w:szCs w:val="28"/>
                  </w:rPr>
                  <m:t xml:space="preserve"> </m:t>
                </m:r>
              </m:e>
            </m:d>
          </m:e>
          <m:sup>
            <m:r>
              <m:rPr>
                <m:sty m:val="p"/>
              </m:rPr>
              <w:rPr>
                <w:rFonts w:ascii="Cambria Math" w:hAnsi="Cambria Math"/>
                <w:szCs w:val="28"/>
              </w:rPr>
              <m:t>n</m:t>
            </m:r>
          </m:sup>
        </m:sSup>
        <m:r>
          <w:rPr>
            <w:rFonts w:ascii="Cambria Math" w:hAnsi="Cambria Math"/>
            <w:szCs w:val="28"/>
          </w:rPr>
          <m:t xml:space="preserve"> </m:t>
        </m:r>
      </m:oMath>
      <w:r>
        <w:rPr>
          <w:rFonts w:ascii="Times New Roman" w:hAnsi="Times New Roman" w:cs="Times New Roman"/>
          <w:sz w:val="28"/>
          <w:szCs w:val="28"/>
        </w:rPr>
        <w:t>, (6)</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инфл.пер</w:t>
      </w:r>
      <w:proofErr w:type="spellEnd"/>
      <w:r>
        <w:rPr>
          <w:sz w:val="32"/>
          <w:szCs w:val="32"/>
          <w:vertAlign w:val="subscript"/>
        </w:rPr>
        <w:t xml:space="preserve"> </w:t>
      </w:r>
      <w:r>
        <w:t>– коэффициент прогнозной инфляции;</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w:t>
      </w:r>
      <w:proofErr w:type="spellEnd"/>
      <w:r>
        <w:t xml:space="preserve"> – опубликованный на соответствующий календарный год индекс прогнозной инфляции, используемый заказчиком в соответствии с пунктами 25 - 27 Порядка;</w:t>
      </w:r>
    </w:p>
    <w:p w:rsidR="00DD29BD" w:rsidRDefault="00DB198A">
      <w:pPr>
        <w:spacing w:line="360" w:lineRule="exact"/>
        <w:ind w:right="-284" w:firstLine="709"/>
        <w:contextualSpacing/>
        <w:jc w:val="both"/>
      </w:pPr>
      <w:r>
        <w:rPr>
          <w:sz w:val="32"/>
          <w:szCs w:val="32"/>
          <w:lang w:val="en-US"/>
        </w:rPr>
        <w:t>n</w:t>
      </w:r>
      <w:r>
        <w:t xml:space="preserve"> – степень, соответствующая количеству календарных месяцев исполнения обязательств по контракту в соответствующем календарном году, определенному заказчиком в соответствии с положениями подпункта 1 пункта 21 Порядка;</w:t>
      </w:r>
    </w:p>
    <w:p w:rsidR="00DD29BD" w:rsidRDefault="00DB198A">
      <w:pPr>
        <w:spacing w:line="360" w:lineRule="exact"/>
        <w:ind w:right="-284" w:firstLine="709"/>
        <w:contextualSpacing/>
        <w:jc w:val="both"/>
        <w:rPr>
          <w:szCs w:val="28"/>
        </w:rPr>
      </w:pPr>
      <w:r>
        <w:t xml:space="preserve">30. Показатель </w:t>
      </w:r>
      <w:proofErr w:type="spellStart"/>
      <w:r>
        <w:t>К</w:t>
      </w:r>
      <w:r>
        <w:rPr>
          <w:sz w:val="32"/>
          <w:szCs w:val="24"/>
          <w:vertAlign w:val="subscript"/>
        </w:rPr>
        <w:t>инфл</w:t>
      </w:r>
      <w:proofErr w:type="spellEnd"/>
      <w:r>
        <w:t xml:space="preserve"> для каждого последующего календарного года определяется нарастающим итогом</w:t>
      </w:r>
      <w:r>
        <w:rPr>
          <w:szCs w:val="28"/>
        </w:rPr>
        <w:t>, по следующей формуле (7):</w:t>
      </w:r>
    </w:p>
    <w:p w:rsidR="00DD29BD" w:rsidRDefault="00DD29BD">
      <w:pPr>
        <w:spacing w:line="360" w:lineRule="exact"/>
        <w:ind w:right="-284" w:firstLine="709"/>
        <w:contextualSpacing/>
        <w:jc w:val="center"/>
        <w:rPr>
          <w:sz w:val="32"/>
          <w:szCs w:val="32"/>
        </w:rPr>
      </w:pPr>
    </w:p>
    <w:p w:rsidR="00DD29BD" w:rsidRDefault="00DB198A">
      <w:pPr>
        <w:spacing w:line="360" w:lineRule="exact"/>
        <w:ind w:right="-284" w:firstLine="709"/>
        <w:contextualSpacing/>
        <w:jc w:val="center"/>
        <w:rPr>
          <w:szCs w:val="28"/>
        </w:rPr>
      </w:pPr>
      <w:proofErr w:type="spellStart"/>
      <w:r>
        <w:rPr>
          <w:sz w:val="32"/>
          <w:szCs w:val="32"/>
        </w:rPr>
        <w:lastRenderedPageBreak/>
        <w:t>К</w:t>
      </w:r>
      <w:r>
        <w:rPr>
          <w:sz w:val="32"/>
          <w:szCs w:val="32"/>
          <w:vertAlign w:val="subscript"/>
        </w:rPr>
        <w:t>инфл</w:t>
      </w:r>
      <w:proofErr w:type="spellEnd"/>
      <w:r>
        <w:rPr>
          <w:sz w:val="32"/>
          <w:szCs w:val="32"/>
          <w:vertAlign w:val="subscript"/>
        </w:rPr>
        <w:t xml:space="preserve"> </w:t>
      </w:r>
      <w:r>
        <w:rPr>
          <w:sz w:val="32"/>
          <w:szCs w:val="32"/>
        </w:rPr>
        <w:t xml:space="preserve">= </w:t>
      </w:r>
      <w:proofErr w:type="spellStart"/>
      <w:r>
        <w:rPr>
          <w:sz w:val="32"/>
          <w:szCs w:val="32"/>
        </w:rPr>
        <w:t>К</w:t>
      </w:r>
      <w:r>
        <w:rPr>
          <w:sz w:val="32"/>
          <w:szCs w:val="32"/>
          <w:vertAlign w:val="subscript"/>
        </w:rPr>
        <w:t>инфл</w:t>
      </w:r>
      <w:proofErr w:type="spellEnd"/>
      <w:r>
        <w:rPr>
          <w:sz w:val="32"/>
          <w:szCs w:val="32"/>
          <w:vertAlign w:val="subscript"/>
        </w:rPr>
        <w:t>(</w:t>
      </w:r>
      <w:proofErr w:type="spellStart"/>
      <w:r>
        <w:rPr>
          <w:sz w:val="32"/>
          <w:szCs w:val="32"/>
          <w:vertAlign w:val="subscript"/>
          <w:lang w:val="en-US"/>
        </w:rPr>
        <w:t>i</w:t>
      </w:r>
      <w:proofErr w:type="spellEnd"/>
      <w:r>
        <w:rPr>
          <w:sz w:val="32"/>
          <w:szCs w:val="32"/>
          <w:vertAlign w:val="subscript"/>
        </w:rPr>
        <w:t>-</w:t>
      </w:r>
      <w:proofErr w:type="gramStart"/>
      <w:r>
        <w:rPr>
          <w:sz w:val="32"/>
          <w:szCs w:val="32"/>
          <w:vertAlign w:val="subscript"/>
        </w:rPr>
        <w:t>1)</w:t>
      </w:r>
      <w:r>
        <w:rPr>
          <w:szCs w:val="32"/>
        </w:rPr>
        <w:t>*</w:t>
      </w:r>
      <w:proofErr w:type="spellStart"/>
      <w:proofErr w:type="gramEnd"/>
      <w:r>
        <w:rPr>
          <w:sz w:val="32"/>
          <w:szCs w:val="32"/>
        </w:rPr>
        <w:t>К</w:t>
      </w:r>
      <w:r>
        <w:rPr>
          <w:sz w:val="32"/>
          <w:szCs w:val="32"/>
          <w:vertAlign w:val="subscript"/>
        </w:rPr>
        <w:t>инфл</w:t>
      </w:r>
      <w:r>
        <w:rPr>
          <w:sz w:val="32"/>
          <w:szCs w:val="32"/>
          <w:vertAlign w:val="subscript"/>
          <w:lang w:val="en-US"/>
        </w:rPr>
        <w:t>i</w:t>
      </w:r>
      <w:proofErr w:type="spellEnd"/>
      <w:r>
        <w:rPr>
          <w:szCs w:val="28"/>
        </w:rPr>
        <w:t>.(7),</w:t>
      </w:r>
    </w:p>
    <w:p w:rsidR="00DD29BD" w:rsidRDefault="00DB198A">
      <w:pPr>
        <w:spacing w:line="360" w:lineRule="exact"/>
        <w:ind w:right="-284" w:firstLine="709"/>
        <w:contextualSpacing/>
        <w:jc w:val="both"/>
        <w:rPr>
          <w:szCs w:val="28"/>
        </w:rPr>
      </w:pPr>
      <w:r>
        <w:rPr>
          <w:szCs w:val="28"/>
        </w:rPr>
        <w:t xml:space="preserve">Где: </w:t>
      </w:r>
    </w:p>
    <w:p w:rsidR="00DD29BD" w:rsidRDefault="00DB198A">
      <w:pPr>
        <w:spacing w:line="360" w:lineRule="exact"/>
        <w:ind w:right="-284" w:firstLine="709"/>
        <w:contextualSpacing/>
        <w:jc w:val="both"/>
        <w:rPr>
          <w:sz w:val="32"/>
          <w:szCs w:val="32"/>
          <w:vertAlign w:val="subscript"/>
        </w:rPr>
      </w:pPr>
      <w:proofErr w:type="spellStart"/>
      <w:r>
        <w:rPr>
          <w:sz w:val="32"/>
          <w:szCs w:val="32"/>
        </w:rPr>
        <w:t>К</w:t>
      </w:r>
      <w:r>
        <w:rPr>
          <w:sz w:val="32"/>
          <w:szCs w:val="32"/>
          <w:vertAlign w:val="subscript"/>
        </w:rPr>
        <w:t>инфл</w:t>
      </w:r>
      <w:proofErr w:type="spellEnd"/>
      <w:r>
        <w:rPr>
          <w:sz w:val="32"/>
          <w:szCs w:val="32"/>
          <w:vertAlign w:val="subscript"/>
        </w:rPr>
        <w:t xml:space="preserve"> </w:t>
      </w:r>
      <w:r>
        <w:rPr>
          <w:sz w:val="32"/>
          <w:szCs w:val="32"/>
        </w:rPr>
        <w:t xml:space="preserve">– </w:t>
      </w:r>
      <w:r>
        <w:t>коэффициент прогнозной инфляции;</w:t>
      </w:r>
    </w:p>
    <w:p w:rsidR="00DD29BD" w:rsidRDefault="00DB198A">
      <w:pPr>
        <w:spacing w:line="360" w:lineRule="exact"/>
        <w:ind w:right="-284" w:firstLine="709"/>
        <w:contextualSpacing/>
        <w:jc w:val="both"/>
        <w:rPr>
          <w:sz w:val="32"/>
          <w:szCs w:val="32"/>
          <w:vertAlign w:val="subscript"/>
        </w:rPr>
      </w:pPr>
      <w:proofErr w:type="spellStart"/>
      <w:r>
        <w:rPr>
          <w:sz w:val="32"/>
          <w:szCs w:val="32"/>
        </w:rPr>
        <w:t>К</w:t>
      </w:r>
      <w:r>
        <w:rPr>
          <w:sz w:val="32"/>
          <w:szCs w:val="32"/>
          <w:vertAlign w:val="subscript"/>
        </w:rPr>
        <w:t>инфл</w:t>
      </w:r>
      <w:proofErr w:type="spellEnd"/>
      <w:r>
        <w:rPr>
          <w:sz w:val="32"/>
          <w:szCs w:val="32"/>
          <w:vertAlign w:val="subscript"/>
        </w:rPr>
        <w:t xml:space="preserve"> (</w:t>
      </w:r>
      <w:proofErr w:type="spellStart"/>
      <w:r>
        <w:rPr>
          <w:sz w:val="32"/>
          <w:szCs w:val="32"/>
          <w:vertAlign w:val="subscript"/>
          <w:lang w:val="en-US"/>
        </w:rPr>
        <w:t>i</w:t>
      </w:r>
      <w:proofErr w:type="spellEnd"/>
      <w:r>
        <w:rPr>
          <w:sz w:val="32"/>
          <w:szCs w:val="32"/>
          <w:vertAlign w:val="subscript"/>
        </w:rPr>
        <w:t xml:space="preserve">-1) – </w:t>
      </w:r>
      <w:r>
        <w:t>коэффициент прогнозной инфляции, рассчитанный заказчиком для предшествующего календарного года</w:t>
      </w:r>
    </w:p>
    <w:p w:rsidR="00DD29BD" w:rsidRDefault="00DB198A">
      <w:pPr>
        <w:spacing w:line="360" w:lineRule="exact"/>
        <w:ind w:right="-284" w:firstLine="709"/>
        <w:contextualSpacing/>
        <w:jc w:val="both"/>
        <w:rPr>
          <w:szCs w:val="28"/>
        </w:rPr>
      </w:pPr>
      <w:proofErr w:type="spellStart"/>
      <w:r>
        <w:rPr>
          <w:sz w:val="32"/>
          <w:szCs w:val="32"/>
        </w:rPr>
        <w:t>К</w:t>
      </w:r>
      <w:r>
        <w:rPr>
          <w:sz w:val="32"/>
          <w:szCs w:val="32"/>
          <w:vertAlign w:val="subscript"/>
        </w:rPr>
        <w:t>инфл</w:t>
      </w:r>
      <w:r>
        <w:rPr>
          <w:sz w:val="32"/>
          <w:szCs w:val="32"/>
          <w:vertAlign w:val="subscript"/>
          <w:lang w:val="en-US"/>
        </w:rPr>
        <w:t>i</w:t>
      </w:r>
      <w:proofErr w:type="spellEnd"/>
      <w:r>
        <w:rPr>
          <w:sz w:val="32"/>
          <w:szCs w:val="32"/>
          <w:vertAlign w:val="subscript"/>
        </w:rPr>
        <w:t xml:space="preserve"> </w:t>
      </w:r>
      <w:r>
        <w:t>– опубликованный на соответствующий календарный год индекс прогнозной инфляции, используемый заказчиком в соответствии с пунктами 25 - 27 Порядка</w:t>
      </w:r>
    </w:p>
    <w:p w:rsidR="00DD29BD" w:rsidRDefault="00DB198A">
      <w:pPr>
        <w:spacing w:line="360" w:lineRule="exact"/>
        <w:ind w:right="-284" w:firstLine="709"/>
        <w:contextualSpacing/>
        <w:jc w:val="both"/>
        <w:rPr>
          <w:sz w:val="32"/>
          <w:szCs w:val="32"/>
        </w:rPr>
      </w:pPr>
      <w:r>
        <w:rPr>
          <w:szCs w:val="28"/>
        </w:rPr>
        <w:t xml:space="preserve">31. При расчете показателей </w:t>
      </w:r>
      <w:proofErr w:type="spellStart"/>
      <w:r>
        <w:rPr>
          <w:szCs w:val="28"/>
        </w:rPr>
        <w:t>К</w:t>
      </w:r>
      <w:r>
        <w:rPr>
          <w:szCs w:val="28"/>
          <w:vertAlign w:val="subscript"/>
        </w:rPr>
        <w:t>факт</w:t>
      </w:r>
      <w:proofErr w:type="spellEnd"/>
      <w:r>
        <w:rPr>
          <w:szCs w:val="28"/>
        </w:rPr>
        <w:t xml:space="preserve"> и </w:t>
      </w:r>
      <w:proofErr w:type="spellStart"/>
      <w:r>
        <w:rPr>
          <w:szCs w:val="28"/>
        </w:rPr>
        <w:t>К</w:t>
      </w:r>
      <w:r>
        <w:rPr>
          <w:sz w:val="32"/>
          <w:szCs w:val="28"/>
          <w:vertAlign w:val="subscript"/>
        </w:rPr>
        <w:t>инфл</w:t>
      </w:r>
      <w:proofErr w:type="spellEnd"/>
      <w:r>
        <w:rPr>
          <w:szCs w:val="28"/>
        </w:rPr>
        <w:t xml:space="preserve"> полученные значения округляются</w:t>
      </w:r>
      <w:r>
        <w:rPr>
          <w:szCs w:val="28"/>
        </w:rPr>
        <w:br/>
        <w:t>по математическим правилам округления до 4 знаков после запятой.</w:t>
      </w:r>
    </w:p>
    <w:p w:rsidR="00DD29BD" w:rsidRDefault="00DB198A">
      <w:pPr>
        <w:spacing w:line="360" w:lineRule="exact"/>
        <w:ind w:right="-284" w:firstLine="709"/>
        <w:contextualSpacing/>
        <w:jc w:val="both"/>
      </w:pPr>
      <w:r>
        <w:t>32. НМЦК определяется по формуле (8):</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center"/>
        <w:rPr>
          <w:szCs w:val="32"/>
        </w:rPr>
      </w:pPr>
      <w:r>
        <w:t xml:space="preserve">НМЦК = </w:t>
      </w:r>
      <w:proofErr w:type="spellStart"/>
      <w:r>
        <w:rPr>
          <w:sz w:val="32"/>
          <w:szCs w:val="32"/>
        </w:rPr>
        <w:t>Ц</w:t>
      </w:r>
      <w:r>
        <w:rPr>
          <w:sz w:val="32"/>
          <w:szCs w:val="32"/>
          <w:vertAlign w:val="subscript"/>
        </w:rPr>
        <w:t>факт</w:t>
      </w:r>
      <w:proofErr w:type="spellEnd"/>
      <w:r>
        <w:rPr>
          <w:szCs w:val="32"/>
        </w:rPr>
        <w:t>*</w:t>
      </w:r>
      <w:proofErr w:type="spellStart"/>
      <w:r>
        <w:rPr>
          <w:sz w:val="32"/>
          <w:szCs w:val="32"/>
        </w:rPr>
        <w:t>К</w:t>
      </w:r>
      <w:r>
        <w:rPr>
          <w:sz w:val="32"/>
          <w:szCs w:val="32"/>
          <w:vertAlign w:val="subscript"/>
        </w:rPr>
        <w:t>инфл</w:t>
      </w:r>
      <w:proofErr w:type="spellEnd"/>
      <w:r>
        <w:rPr>
          <w:sz w:val="32"/>
          <w:szCs w:val="32"/>
          <w:vertAlign w:val="subscript"/>
        </w:rPr>
        <w:t xml:space="preserve"> </w:t>
      </w:r>
      <w:r>
        <w:rPr>
          <w:szCs w:val="32"/>
        </w:rPr>
        <w:t>(8),</w:t>
      </w:r>
    </w:p>
    <w:p w:rsidR="00DD29BD" w:rsidRDefault="00DD29BD">
      <w:pPr>
        <w:spacing w:line="360" w:lineRule="exact"/>
        <w:ind w:right="-284" w:firstLine="709"/>
        <w:contextualSpacing/>
        <w:jc w:val="both"/>
        <w:rPr>
          <w:szCs w:val="32"/>
        </w:rPr>
      </w:pPr>
    </w:p>
    <w:p w:rsidR="00DD29BD" w:rsidRDefault="00DB198A">
      <w:pPr>
        <w:spacing w:line="360" w:lineRule="exact"/>
        <w:ind w:right="-284" w:firstLine="709"/>
        <w:contextualSpacing/>
        <w:jc w:val="both"/>
        <w:rPr>
          <w:szCs w:val="32"/>
        </w:rPr>
      </w:pPr>
      <w:r>
        <w:rPr>
          <w:szCs w:val="32"/>
        </w:rPr>
        <w:t>где:</w:t>
      </w: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факт</w:t>
      </w:r>
      <w:proofErr w:type="spellEnd"/>
      <w:r>
        <w:t xml:space="preserve"> – сметная стоимость работ (услуг) в уровне цен, сложившемся на дату определения НМЦК;</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w:t>
      </w:r>
      <w:proofErr w:type="spellEnd"/>
      <w:r>
        <w:rPr>
          <w:szCs w:val="32"/>
        </w:rPr>
        <w:t xml:space="preserve"> – </w:t>
      </w:r>
      <w:r>
        <w:t>коэффициент прогнозной инфляции.</w:t>
      </w:r>
    </w:p>
    <w:p w:rsidR="00DD29BD" w:rsidRDefault="00DB198A">
      <w:pPr>
        <w:spacing w:line="360" w:lineRule="exact"/>
        <w:ind w:right="-284" w:firstLine="709"/>
        <w:contextualSpacing/>
        <w:jc w:val="both"/>
      </w:pPr>
      <w:r>
        <w:t>33. Если срок исполнения контракта, сложившийся на дату определения НМЦК приходится на разные календарные годы, формула определения НМЦК принимает следующий вид (9):</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center"/>
      </w:pPr>
      <w:r>
        <w:t>НМЦК = (</w:t>
      </w:r>
      <w:r>
        <w:rPr>
          <w:sz w:val="32"/>
          <w:szCs w:val="32"/>
        </w:rPr>
        <w:t>Ц</w:t>
      </w:r>
      <w:r>
        <w:rPr>
          <w:sz w:val="32"/>
          <w:szCs w:val="32"/>
          <w:vertAlign w:val="subscript"/>
        </w:rPr>
        <w:t>факт1</w:t>
      </w:r>
      <w:r>
        <w:rPr>
          <w:szCs w:val="32"/>
        </w:rPr>
        <w:t>*</w:t>
      </w:r>
      <w:r>
        <w:rPr>
          <w:sz w:val="32"/>
          <w:szCs w:val="32"/>
        </w:rPr>
        <w:t>К</w:t>
      </w:r>
      <w:r>
        <w:rPr>
          <w:sz w:val="32"/>
          <w:szCs w:val="32"/>
          <w:vertAlign w:val="subscript"/>
        </w:rPr>
        <w:t>инфл1</w:t>
      </w:r>
      <w:r>
        <w:rPr>
          <w:sz w:val="32"/>
          <w:szCs w:val="32"/>
        </w:rPr>
        <w:t xml:space="preserve">) + </w:t>
      </w:r>
      <w:r>
        <w:t>(</w:t>
      </w:r>
      <w:r>
        <w:rPr>
          <w:sz w:val="32"/>
          <w:szCs w:val="32"/>
        </w:rPr>
        <w:t>Ц</w:t>
      </w:r>
      <w:r>
        <w:rPr>
          <w:sz w:val="32"/>
          <w:szCs w:val="32"/>
          <w:vertAlign w:val="subscript"/>
        </w:rPr>
        <w:t>факт2</w:t>
      </w:r>
      <w:r>
        <w:rPr>
          <w:szCs w:val="32"/>
        </w:rPr>
        <w:t>*</w:t>
      </w:r>
      <w:r>
        <w:rPr>
          <w:sz w:val="32"/>
          <w:szCs w:val="32"/>
        </w:rPr>
        <w:t>К</w:t>
      </w:r>
      <w:r>
        <w:rPr>
          <w:sz w:val="32"/>
          <w:szCs w:val="32"/>
          <w:vertAlign w:val="subscript"/>
        </w:rPr>
        <w:t>инфл</w:t>
      </w:r>
      <w:proofErr w:type="gramStart"/>
      <w:r>
        <w:rPr>
          <w:sz w:val="32"/>
          <w:szCs w:val="32"/>
          <w:vertAlign w:val="subscript"/>
        </w:rPr>
        <w:t>2</w:t>
      </w:r>
      <w:r>
        <w:rPr>
          <w:sz w:val="32"/>
          <w:szCs w:val="32"/>
        </w:rPr>
        <w:t>)+</w:t>
      </w:r>
      <w:proofErr w:type="gramEnd"/>
      <w:r>
        <w:rPr>
          <w:sz w:val="32"/>
          <w:szCs w:val="32"/>
        </w:rPr>
        <w:t xml:space="preserve"> …+</w:t>
      </w:r>
      <w:r>
        <w:t>(</w:t>
      </w:r>
      <w:proofErr w:type="spellStart"/>
      <w:r>
        <w:rPr>
          <w:sz w:val="32"/>
          <w:szCs w:val="32"/>
        </w:rPr>
        <w:t>Ц</w:t>
      </w:r>
      <w:r>
        <w:rPr>
          <w:sz w:val="32"/>
          <w:szCs w:val="32"/>
          <w:vertAlign w:val="subscript"/>
        </w:rPr>
        <w:t>факт</w:t>
      </w:r>
      <w:r>
        <w:rPr>
          <w:sz w:val="32"/>
          <w:szCs w:val="32"/>
          <w:vertAlign w:val="subscript"/>
          <w:lang w:val="en-US"/>
        </w:rPr>
        <w:t>i</w:t>
      </w:r>
      <w:proofErr w:type="spellEnd"/>
      <w:r>
        <w:rPr>
          <w:szCs w:val="32"/>
        </w:rPr>
        <w:t>*</w:t>
      </w:r>
      <w:proofErr w:type="spellStart"/>
      <w:r>
        <w:rPr>
          <w:sz w:val="32"/>
          <w:szCs w:val="32"/>
        </w:rPr>
        <w:t>К</w:t>
      </w:r>
      <w:r>
        <w:rPr>
          <w:sz w:val="32"/>
          <w:szCs w:val="32"/>
          <w:vertAlign w:val="subscript"/>
        </w:rPr>
        <w:t>инфл</w:t>
      </w:r>
      <w:r>
        <w:rPr>
          <w:sz w:val="32"/>
          <w:szCs w:val="32"/>
          <w:vertAlign w:val="subscript"/>
          <w:lang w:val="en-US"/>
        </w:rPr>
        <w:t>i</w:t>
      </w:r>
      <w:proofErr w:type="spellEnd"/>
      <w:r>
        <w:rPr>
          <w:sz w:val="32"/>
          <w:szCs w:val="32"/>
        </w:rPr>
        <w:t>)</w:t>
      </w:r>
      <w:r>
        <w:t>, (9)</w:t>
      </w:r>
    </w:p>
    <w:p w:rsidR="00DD29BD" w:rsidRDefault="00DD29BD">
      <w:pPr>
        <w:spacing w:line="360" w:lineRule="exact"/>
        <w:ind w:right="-284" w:firstLine="709"/>
        <w:contextualSpacing/>
        <w:jc w:val="both"/>
        <w:rPr>
          <w:szCs w:val="32"/>
        </w:rPr>
      </w:pPr>
    </w:p>
    <w:p w:rsidR="00DD29BD" w:rsidRDefault="00DB198A">
      <w:pPr>
        <w:spacing w:line="360" w:lineRule="exact"/>
        <w:ind w:right="-284" w:firstLine="709"/>
        <w:contextualSpacing/>
        <w:jc w:val="both"/>
        <w:rPr>
          <w:szCs w:val="32"/>
        </w:rPr>
      </w:pPr>
      <w:r>
        <w:rPr>
          <w:szCs w:val="32"/>
        </w:rPr>
        <w:t>где:</w:t>
      </w:r>
    </w:p>
    <w:p w:rsidR="00DD29BD" w:rsidRDefault="00DB198A">
      <w:pPr>
        <w:spacing w:line="360" w:lineRule="exact"/>
        <w:ind w:right="-284" w:firstLine="709"/>
        <w:contextualSpacing/>
        <w:jc w:val="both"/>
      </w:pPr>
      <w:r>
        <w:rPr>
          <w:sz w:val="32"/>
          <w:szCs w:val="32"/>
        </w:rPr>
        <w:t>Ц</w:t>
      </w:r>
      <w:r>
        <w:rPr>
          <w:sz w:val="32"/>
          <w:szCs w:val="32"/>
          <w:vertAlign w:val="subscript"/>
        </w:rPr>
        <w:t>факт1</w:t>
      </w:r>
      <w:r>
        <w:t xml:space="preserve"> – сметная стоимость работ (услуг) в уровне цен, сложившемся на дату определения НМЦК, приходящаяся на 1-й календарный год исполнения контракта;</w:t>
      </w:r>
    </w:p>
    <w:p w:rsidR="00DD29BD" w:rsidRDefault="00DB198A">
      <w:pPr>
        <w:spacing w:line="360" w:lineRule="exact"/>
        <w:ind w:right="-284" w:firstLine="709"/>
        <w:contextualSpacing/>
        <w:jc w:val="both"/>
      </w:pPr>
      <w:r>
        <w:rPr>
          <w:sz w:val="32"/>
          <w:szCs w:val="32"/>
        </w:rPr>
        <w:t>К</w:t>
      </w:r>
      <w:r>
        <w:rPr>
          <w:sz w:val="32"/>
          <w:szCs w:val="32"/>
          <w:vertAlign w:val="subscript"/>
        </w:rPr>
        <w:t>инфл1</w:t>
      </w:r>
      <w:r>
        <w:rPr>
          <w:szCs w:val="32"/>
        </w:rPr>
        <w:t xml:space="preserve"> – </w:t>
      </w:r>
      <w:r>
        <w:t xml:space="preserve">коэффициент прогнозной инфляции, рассчитанный заказчиком </w:t>
      </w:r>
      <w:r>
        <w:br/>
        <w:t>для 1-го календарного года;</w:t>
      </w:r>
    </w:p>
    <w:p w:rsidR="00DD29BD" w:rsidRDefault="00DB198A">
      <w:pPr>
        <w:spacing w:line="360" w:lineRule="exact"/>
        <w:ind w:right="-284" w:firstLine="709"/>
        <w:contextualSpacing/>
        <w:jc w:val="both"/>
      </w:pPr>
      <w:r>
        <w:rPr>
          <w:sz w:val="32"/>
          <w:szCs w:val="32"/>
        </w:rPr>
        <w:t>Ц</w:t>
      </w:r>
      <w:r>
        <w:rPr>
          <w:sz w:val="32"/>
          <w:szCs w:val="32"/>
          <w:vertAlign w:val="subscript"/>
        </w:rPr>
        <w:t>факт2</w:t>
      </w:r>
      <w:r>
        <w:t xml:space="preserve"> – сметная стоимость работ (услуг) в уровне цен, сложившемся на дату определения НМЦК, приходящаяся на 2-й календарный год исполнения контракта;</w:t>
      </w:r>
    </w:p>
    <w:p w:rsidR="00DD29BD" w:rsidRDefault="00DB198A">
      <w:pPr>
        <w:spacing w:line="360" w:lineRule="exact"/>
        <w:ind w:right="-284" w:firstLine="709"/>
        <w:contextualSpacing/>
        <w:jc w:val="both"/>
      </w:pPr>
      <w:r>
        <w:rPr>
          <w:sz w:val="32"/>
          <w:szCs w:val="32"/>
        </w:rPr>
        <w:t>К</w:t>
      </w:r>
      <w:r>
        <w:rPr>
          <w:sz w:val="32"/>
          <w:szCs w:val="32"/>
          <w:vertAlign w:val="subscript"/>
        </w:rPr>
        <w:t>инфл2</w:t>
      </w:r>
      <w:r>
        <w:rPr>
          <w:szCs w:val="32"/>
        </w:rPr>
        <w:t xml:space="preserve"> – </w:t>
      </w:r>
      <w:r>
        <w:t>коэффициент прогнозной инфляции, рассчитанный заказчиком</w:t>
      </w:r>
      <w:r>
        <w:br/>
        <w:t>для 2-го календарного года;</w:t>
      </w: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факт</w:t>
      </w:r>
      <w:r>
        <w:rPr>
          <w:sz w:val="32"/>
          <w:szCs w:val="32"/>
          <w:vertAlign w:val="subscript"/>
          <w:lang w:val="en-US"/>
        </w:rPr>
        <w:t>i</w:t>
      </w:r>
      <w:proofErr w:type="spellEnd"/>
      <w:r>
        <w:t xml:space="preserve"> – сметная стоимость работ (услуг) в уровне цен, сложившемся на дату определения НМЦК, приходящаяся на </w:t>
      </w:r>
      <w:proofErr w:type="spellStart"/>
      <w:r>
        <w:rPr>
          <w:lang w:val="en-US"/>
        </w:rPr>
        <w:t>i</w:t>
      </w:r>
      <w:proofErr w:type="spellEnd"/>
      <w:r>
        <w:t>-й календарный год исполнения контракта;</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w:t>
      </w:r>
      <w:r>
        <w:rPr>
          <w:sz w:val="32"/>
          <w:szCs w:val="32"/>
          <w:vertAlign w:val="subscript"/>
          <w:lang w:val="en-US"/>
        </w:rPr>
        <w:t>i</w:t>
      </w:r>
      <w:proofErr w:type="spellEnd"/>
      <w:r>
        <w:rPr>
          <w:szCs w:val="32"/>
        </w:rPr>
        <w:t xml:space="preserve"> – </w:t>
      </w:r>
      <w:r>
        <w:t xml:space="preserve">коэффициент прогнозной инфляции, рассчитанный заказчиком </w:t>
      </w:r>
      <w:r>
        <w:br/>
        <w:t xml:space="preserve">для </w:t>
      </w:r>
      <w:proofErr w:type="spellStart"/>
      <w:r>
        <w:rPr>
          <w:lang w:val="en-US"/>
        </w:rPr>
        <w:t>i</w:t>
      </w:r>
      <w:proofErr w:type="spellEnd"/>
      <w:r>
        <w:t>-го календарного года;</w:t>
      </w:r>
    </w:p>
    <w:p w:rsidR="00DD29BD" w:rsidRDefault="00DB198A">
      <w:pPr>
        <w:spacing w:line="360" w:lineRule="exact"/>
        <w:ind w:right="-284" w:firstLine="709"/>
        <w:contextualSpacing/>
        <w:jc w:val="both"/>
      </w:pPr>
      <w:r>
        <w:t xml:space="preserve">34. Если планом-графиком закупок финансовое обеспечение </w:t>
      </w:r>
      <w:r>
        <w:br/>
        <w:t xml:space="preserve">для осуществления закупки на календарный год, в котором заказчик определяет </w:t>
      </w:r>
      <w:r>
        <w:lastRenderedPageBreak/>
        <w:t xml:space="preserve">НМЦК, не предусмотрено (показатель </w:t>
      </w:r>
      <w:proofErr w:type="spellStart"/>
      <w:r>
        <w:t>ОФОг</w:t>
      </w:r>
      <w:proofErr w:type="spellEnd"/>
      <w:r>
        <w:t xml:space="preserve"> = 0), в связи с тем, что непосредственное начало выполнения работ (оказания услуг)  по контракту и (или) предполагаемая дата заключения контракта приходится на очередной календарный год, формула определения НМЦК принимает следующий вид (10):</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center"/>
      </w:pPr>
      <w:r>
        <w:t xml:space="preserve">НМЦК = </w:t>
      </w:r>
      <w:r>
        <w:rPr>
          <w:sz w:val="32"/>
          <w:szCs w:val="32"/>
        </w:rPr>
        <w:t xml:space="preserve">0 + </w:t>
      </w:r>
      <w:r>
        <w:t>(</w:t>
      </w:r>
      <w:r>
        <w:rPr>
          <w:sz w:val="32"/>
          <w:szCs w:val="32"/>
        </w:rPr>
        <w:t>Ц</w:t>
      </w:r>
      <w:r>
        <w:rPr>
          <w:sz w:val="32"/>
          <w:szCs w:val="32"/>
          <w:vertAlign w:val="subscript"/>
        </w:rPr>
        <w:t>факт2</w:t>
      </w:r>
      <w:r>
        <w:rPr>
          <w:szCs w:val="32"/>
        </w:rPr>
        <w:t>*</w:t>
      </w:r>
      <w:r>
        <w:rPr>
          <w:sz w:val="32"/>
          <w:szCs w:val="32"/>
        </w:rPr>
        <w:t xml:space="preserve"> К</w:t>
      </w:r>
      <w:r>
        <w:rPr>
          <w:sz w:val="32"/>
          <w:szCs w:val="32"/>
          <w:vertAlign w:val="subscript"/>
        </w:rPr>
        <w:t>инфл1</w:t>
      </w:r>
      <w:r>
        <w:rPr>
          <w:sz w:val="32"/>
          <w:szCs w:val="32"/>
        </w:rPr>
        <w:t>*К</w:t>
      </w:r>
      <w:r>
        <w:rPr>
          <w:sz w:val="32"/>
          <w:szCs w:val="32"/>
          <w:vertAlign w:val="subscript"/>
        </w:rPr>
        <w:t>инфл</w:t>
      </w:r>
      <w:proofErr w:type="gramStart"/>
      <w:r>
        <w:rPr>
          <w:sz w:val="32"/>
          <w:szCs w:val="32"/>
          <w:vertAlign w:val="subscript"/>
        </w:rPr>
        <w:t>2</w:t>
      </w:r>
      <w:r>
        <w:rPr>
          <w:sz w:val="32"/>
          <w:szCs w:val="32"/>
        </w:rPr>
        <w:t>)+</w:t>
      </w:r>
      <w:proofErr w:type="gramEnd"/>
      <w:r>
        <w:rPr>
          <w:sz w:val="32"/>
          <w:szCs w:val="32"/>
        </w:rPr>
        <w:t xml:space="preserve"> …+</w:t>
      </w:r>
      <w:r>
        <w:t>(</w:t>
      </w:r>
      <w:proofErr w:type="spellStart"/>
      <w:r>
        <w:rPr>
          <w:sz w:val="32"/>
          <w:szCs w:val="32"/>
        </w:rPr>
        <w:t>Ц</w:t>
      </w:r>
      <w:r>
        <w:rPr>
          <w:sz w:val="32"/>
          <w:szCs w:val="32"/>
          <w:vertAlign w:val="subscript"/>
        </w:rPr>
        <w:t>факт</w:t>
      </w:r>
      <w:r>
        <w:rPr>
          <w:sz w:val="32"/>
          <w:szCs w:val="32"/>
          <w:vertAlign w:val="subscript"/>
          <w:lang w:val="en-US"/>
        </w:rPr>
        <w:t>i</w:t>
      </w:r>
      <w:proofErr w:type="spellEnd"/>
      <w:r>
        <w:rPr>
          <w:szCs w:val="32"/>
        </w:rPr>
        <w:t>*</w:t>
      </w:r>
      <w:proofErr w:type="spellStart"/>
      <w:r>
        <w:rPr>
          <w:sz w:val="32"/>
          <w:szCs w:val="32"/>
        </w:rPr>
        <w:t>К</w:t>
      </w:r>
      <w:r>
        <w:rPr>
          <w:sz w:val="32"/>
          <w:szCs w:val="32"/>
          <w:vertAlign w:val="subscript"/>
        </w:rPr>
        <w:t>инфл</w:t>
      </w:r>
      <w:r>
        <w:rPr>
          <w:sz w:val="32"/>
          <w:szCs w:val="32"/>
          <w:vertAlign w:val="subscript"/>
          <w:lang w:val="en-US"/>
        </w:rPr>
        <w:t>i</w:t>
      </w:r>
      <w:proofErr w:type="spellEnd"/>
      <w:r>
        <w:rPr>
          <w:sz w:val="32"/>
          <w:szCs w:val="32"/>
        </w:rPr>
        <w:t>)</w:t>
      </w:r>
      <w:r>
        <w:t>, (10)</w:t>
      </w:r>
    </w:p>
    <w:p w:rsidR="00DD29BD" w:rsidRDefault="00DD29BD">
      <w:pPr>
        <w:spacing w:line="360" w:lineRule="exact"/>
        <w:ind w:right="-284" w:firstLine="709"/>
        <w:contextualSpacing/>
        <w:jc w:val="both"/>
        <w:rPr>
          <w:szCs w:val="32"/>
        </w:rPr>
      </w:pPr>
    </w:p>
    <w:p w:rsidR="00DD29BD" w:rsidRDefault="00DB198A">
      <w:pPr>
        <w:spacing w:line="360" w:lineRule="exact"/>
        <w:ind w:right="-284" w:firstLine="709"/>
        <w:contextualSpacing/>
        <w:jc w:val="both"/>
        <w:rPr>
          <w:szCs w:val="32"/>
        </w:rPr>
      </w:pPr>
      <w:r>
        <w:rPr>
          <w:szCs w:val="32"/>
        </w:rPr>
        <w:t>где:</w:t>
      </w:r>
    </w:p>
    <w:p w:rsidR="00DD29BD" w:rsidRDefault="00DB198A">
      <w:pPr>
        <w:spacing w:line="360" w:lineRule="exact"/>
        <w:ind w:right="-284" w:firstLine="709"/>
        <w:contextualSpacing/>
        <w:jc w:val="both"/>
      </w:pPr>
      <w:r>
        <w:rPr>
          <w:sz w:val="32"/>
          <w:szCs w:val="32"/>
        </w:rPr>
        <w:t>К</w:t>
      </w:r>
      <w:r>
        <w:rPr>
          <w:sz w:val="32"/>
          <w:szCs w:val="32"/>
          <w:vertAlign w:val="subscript"/>
        </w:rPr>
        <w:t>инфл1</w:t>
      </w:r>
      <w:r>
        <w:rPr>
          <w:szCs w:val="32"/>
        </w:rPr>
        <w:t xml:space="preserve"> – </w:t>
      </w:r>
      <w:r>
        <w:t xml:space="preserve">коэффициент прогнозной инфляции, рассчитанный заказчиком </w:t>
      </w:r>
      <w:r>
        <w:br/>
        <w:t>для 1-го календарного года;</w:t>
      </w:r>
    </w:p>
    <w:p w:rsidR="00DD29BD" w:rsidRDefault="00DB198A">
      <w:pPr>
        <w:spacing w:line="360" w:lineRule="exact"/>
        <w:ind w:right="-284" w:firstLine="709"/>
        <w:contextualSpacing/>
        <w:jc w:val="both"/>
      </w:pPr>
      <w:r>
        <w:rPr>
          <w:sz w:val="32"/>
          <w:szCs w:val="32"/>
        </w:rPr>
        <w:t>Ц</w:t>
      </w:r>
      <w:r>
        <w:rPr>
          <w:sz w:val="32"/>
          <w:szCs w:val="32"/>
          <w:vertAlign w:val="subscript"/>
        </w:rPr>
        <w:t>факт2</w:t>
      </w:r>
      <w:r>
        <w:t xml:space="preserve"> – сметная стоимость работ (услуг) в уровне цен, сложившемся на дату определения НМЦК, приходящаяся на 2-й календарный год исполнения контракта;</w:t>
      </w:r>
    </w:p>
    <w:p w:rsidR="00DD29BD" w:rsidRDefault="00DB198A">
      <w:pPr>
        <w:spacing w:line="360" w:lineRule="exact"/>
        <w:ind w:right="-284" w:firstLine="709"/>
        <w:contextualSpacing/>
        <w:jc w:val="both"/>
      </w:pPr>
      <w:r>
        <w:rPr>
          <w:sz w:val="32"/>
          <w:szCs w:val="32"/>
        </w:rPr>
        <w:t>К</w:t>
      </w:r>
      <w:r>
        <w:rPr>
          <w:sz w:val="32"/>
          <w:szCs w:val="32"/>
          <w:vertAlign w:val="subscript"/>
        </w:rPr>
        <w:t>инфл2</w:t>
      </w:r>
      <w:r>
        <w:rPr>
          <w:szCs w:val="32"/>
        </w:rPr>
        <w:t xml:space="preserve"> – </w:t>
      </w:r>
      <w:r>
        <w:t xml:space="preserve">коэффициент прогнозной инфляции, рассчитанный заказчиком </w:t>
      </w:r>
      <w:r>
        <w:br/>
        <w:t>для 2-го календарного года;</w:t>
      </w: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факт</w:t>
      </w:r>
      <w:r>
        <w:rPr>
          <w:sz w:val="32"/>
          <w:szCs w:val="32"/>
          <w:vertAlign w:val="subscript"/>
          <w:lang w:val="en-US"/>
        </w:rPr>
        <w:t>i</w:t>
      </w:r>
      <w:proofErr w:type="spellEnd"/>
      <w:r>
        <w:t xml:space="preserve"> – сметная стоимость работ (услуг) в уровне цен, сложившемся на дату определения НМЦК, приходящаяся на </w:t>
      </w:r>
      <w:proofErr w:type="spellStart"/>
      <w:r>
        <w:rPr>
          <w:lang w:val="en-US"/>
        </w:rPr>
        <w:t>i</w:t>
      </w:r>
      <w:proofErr w:type="spellEnd"/>
      <w:r>
        <w:t>-й календарный год исполнения контракта;</w:t>
      </w:r>
    </w:p>
    <w:p w:rsidR="00DD29BD" w:rsidRDefault="00DB198A">
      <w:pPr>
        <w:spacing w:line="360" w:lineRule="exact"/>
        <w:ind w:right="-284" w:firstLine="709"/>
        <w:contextualSpacing/>
        <w:jc w:val="both"/>
        <w:rPr>
          <w:sz w:val="32"/>
          <w:szCs w:val="32"/>
        </w:rPr>
      </w:pPr>
      <w:proofErr w:type="spellStart"/>
      <w:r>
        <w:rPr>
          <w:sz w:val="32"/>
          <w:szCs w:val="32"/>
        </w:rPr>
        <w:t>К</w:t>
      </w:r>
      <w:r>
        <w:rPr>
          <w:sz w:val="32"/>
          <w:szCs w:val="32"/>
          <w:vertAlign w:val="subscript"/>
        </w:rPr>
        <w:t>инфл</w:t>
      </w:r>
      <w:r>
        <w:rPr>
          <w:sz w:val="32"/>
          <w:szCs w:val="32"/>
          <w:vertAlign w:val="subscript"/>
          <w:lang w:val="en-US"/>
        </w:rPr>
        <w:t>i</w:t>
      </w:r>
      <w:proofErr w:type="spellEnd"/>
      <w:r>
        <w:rPr>
          <w:szCs w:val="32"/>
        </w:rPr>
        <w:t xml:space="preserve"> – </w:t>
      </w:r>
      <w:r>
        <w:t xml:space="preserve">коэффициент прогнозной инфляции, рассчитанный заказчиком </w:t>
      </w:r>
      <w:r>
        <w:br/>
        <w:t xml:space="preserve">для </w:t>
      </w:r>
      <w:proofErr w:type="spellStart"/>
      <w:r>
        <w:rPr>
          <w:lang w:val="en-US"/>
        </w:rPr>
        <w:t>i</w:t>
      </w:r>
      <w:proofErr w:type="spellEnd"/>
      <w:r>
        <w:t>-го календарного года</w:t>
      </w:r>
      <w:r>
        <w:rPr>
          <w:szCs w:val="28"/>
        </w:rPr>
        <w:t>.</w:t>
      </w:r>
    </w:p>
    <w:p w:rsidR="00DD29BD" w:rsidRDefault="00DD29BD">
      <w:pPr>
        <w:spacing w:line="240" w:lineRule="atLeast"/>
        <w:ind w:right="-284"/>
        <w:contextualSpacing/>
        <w:jc w:val="center"/>
        <w:rPr>
          <w:b/>
        </w:rPr>
      </w:pPr>
    </w:p>
    <w:p w:rsidR="00DD29BD" w:rsidRDefault="00DD29BD">
      <w:pPr>
        <w:spacing w:line="360" w:lineRule="exact"/>
        <w:ind w:right="-284" w:firstLine="709"/>
        <w:contextualSpacing/>
        <w:jc w:val="both"/>
      </w:pPr>
    </w:p>
    <w:p w:rsidR="00DD29BD" w:rsidRDefault="00DB198A">
      <w:pPr>
        <w:spacing w:line="240" w:lineRule="atLeast"/>
        <w:ind w:right="-284"/>
        <w:contextualSpacing/>
        <w:jc w:val="center"/>
        <w:rPr>
          <w:b/>
        </w:rPr>
      </w:pPr>
      <w:r>
        <w:rPr>
          <w:b/>
        </w:rPr>
        <w:t>I</w:t>
      </w:r>
      <w:r>
        <w:rPr>
          <w:b/>
          <w:lang w:val="en-US"/>
        </w:rPr>
        <w:t>V</w:t>
      </w:r>
      <w:r>
        <w:rPr>
          <w:b/>
        </w:rPr>
        <w:t>. Определение НМЦК при осуществлении закупок</w:t>
      </w:r>
    </w:p>
    <w:p w:rsidR="00DD29BD" w:rsidRDefault="00DB198A">
      <w:pPr>
        <w:spacing w:line="240" w:lineRule="atLeast"/>
        <w:ind w:right="-284"/>
        <w:contextualSpacing/>
        <w:jc w:val="center"/>
        <w:rPr>
          <w:b/>
        </w:rPr>
      </w:pPr>
      <w:r>
        <w:rPr>
          <w:b/>
        </w:rPr>
        <w:t>услуг по исполнению функций технического заказчика и (или) проведению строительного контроля, осуществляемого заказчиком</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 xml:space="preserve">35. НМЦК при осуществлении закупок услуг по исполнению функций технического заказчика и (или) проведению строительного контроля, осуществляемого заказчиком, определяется на основании утвержденной заказчиком </w:t>
      </w:r>
      <w:r>
        <w:br/>
        <w:t>в составе проектной документации сметной документации по объекту, прошедшей проверку на предмет достоверности определения сметной стоимости (в случае, если в соответствии с частью 2 статьи 8</w:t>
      </w:r>
      <w:r>
        <w:rPr>
          <w:vertAlign w:val="superscript"/>
        </w:rPr>
        <w:t>3</w:t>
      </w:r>
      <w:r>
        <w:t xml:space="preserve"> Кодекса сметная стоимость по объекту подлежит проверке на предмет достоверности ее определения в ходе проведения государственной экспертизы).</w:t>
      </w:r>
    </w:p>
    <w:p w:rsidR="00DD29BD" w:rsidRDefault="00DB198A">
      <w:pPr>
        <w:spacing w:line="360" w:lineRule="exact"/>
        <w:ind w:right="-284" w:firstLine="709"/>
        <w:contextualSpacing/>
        <w:jc w:val="both"/>
      </w:pPr>
      <w:r>
        <w:t>36. В случае если на дату определения НМЦК при осуществлении закупок услуг по исполнению функций технического заказчика отсутствует утвержденная заказчиком проектная документация, то НМЦК при осуществлении закупок таких услуг определяется на основании утвержденной заказчиком сметы (сводки) затрат, связанных с выполнением функций технического заказчика, разработанной</w:t>
      </w:r>
      <w:r>
        <w:br/>
        <w:t>в соответствии со сметными нормативами, сведения о которых включены в ФРСН.</w:t>
      </w:r>
    </w:p>
    <w:p w:rsidR="00DD29BD" w:rsidRDefault="00DB198A">
      <w:pPr>
        <w:spacing w:line="360" w:lineRule="exact"/>
        <w:ind w:right="-284" w:firstLine="709"/>
        <w:contextualSpacing/>
        <w:jc w:val="both"/>
      </w:pPr>
      <w:r>
        <w:t xml:space="preserve">37. При определении НМЦК в соответствии с пунктом 35 Порядка учитываются затраты, предусмотренные объектом закупки, при этом резерв средств </w:t>
      </w:r>
      <w:r>
        <w:br/>
      </w:r>
      <w:r>
        <w:lastRenderedPageBreak/>
        <w:t>на непредвиденные работы и затраты определяется заказчиком в размере,</w:t>
      </w:r>
      <w:r>
        <w:br/>
        <w:t xml:space="preserve">не превышающем размер таких затрат, предусмотренный сметной документацией </w:t>
      </w:r>
      <w:r>
        <w:br/>
        <w:t>по объекту.</w:t>
      </w:r>
    </w:p>
    <w:p w:rsidR="00DD29BD" w:rsidRDefault="00DB198A">
      <w:pPr>
        <w:spacing w:line="360" w:lineRule="exact"/>
        <w:ind w:right="-284" w:firstLine="709"/>
        <w:contextualSpacing/>
        <w:jc w:val="both"/>
      </w:pPr>
      <w:r>
        <w:t>38. НМЦК при осуществлении закупок услуг по исполнению функций технического заказчика и (или) проведению строительного контроля, осуществляемого заказчиком, определяется в соответствии положениями разделов I - II</w:t>
      </w:r>
      <w:r>
        <w:rPr>
          <w:lang w:val="en-US"/>
        </w:rPr>
        <w:t>I</w:t>
      </w:r>
      <w:r>
        <w:t xml:space="preserve"> Порядка, при этом если срок исполнения контракта, содержащийся в проекте контракта и (или) проекте графика исполнения контракта (при его наличии), сложившийся на дату определения НМЦК, распределяется по разным (нескольким) календарным годам исполнения контракта, то показатель </w:t>
      </w:r>
      <w:proofErr w:type="spellStart"/>
      <w:r>
        <w:t>Ц</w:t>
      </w:r>
      <w:r>
        <w:rPr>
          <w:vertAlign w:val="subscript"/>
        </w:rPr>
        <w:t>факт</w:t>
      </w:r>
      <w:proofErr w:type="spellEnd"/>
      <w:r>
        <w:t xml:space="preserve"> распределяется</w:t>
      </w:r>
      <w:r>
        <w:br/>
        <w:t>на каждый такой год исполнения контракта по следующей формуле (11):</w:t>
      </w:r>
    </w:p>
    <w:p w:rsidR="00DD29BD" w:rsidRDefault="00DB198A">
      <w:pPr>
        <w:spacing w:line="360" w:lineRule="exact"/>
        <w:ind w:right="-284" w:firstLine="709"/>
        <w:contextualSpacing/>
        <w:jc w:val="center"/>
      </w:pPr>
      <w:proofErr w:type="spellStart"/>
      <w:r>
        <w:t>Ц</w:t>
      </w:r>
      <w:r>
        <w:rPr>
          <w:vertAlign w:val="subscript"/>
        </w:rPr>
        <w:t>факт</w:t>
      </w:r>
      <w:r>
        <w:rPr>
          <w:vertAlign w:val="subscript"/>
          <w:lang w:val="en-US"/>
        </w:rPr>
        <w:t>i</w:t>
      </w:r>
      <w:proofErr w:type="spellEnd"/>
      <w:r>
        <w:t xml:space="preserve"> = </w:t>
      </w:r>
      <w:proofErr w:type="spellStart"/>
      <w:r>
        <w:t>Ц</w:t>
      </w:r>
      <w:r>
        <w:rPr>
          <w:vertAlign w:val="subscript"/>
        </w:rPr>
        <w:t>факт</w:t>
      </w:r>
      <w:proofErr w:type="spellEnd"/>
      <w:r>
        <w:t>*</w:t>
      </w:r>
      <w:proofErr w:type="spellStart"/>
      <w:r>
        <w:rPr>
          <w:lang w:val="en-US"/>
        </w:rPr>
        <w:t>D</w:t>
      </w:r>
      <w:r>
        <w:rPr>
          <w:vertAlign w:val="subscript"/>
          <w:lang w:val="en-US"/>
        </w:rPr>
        <w:t>ni</w:t>
      </w:r>
      <w:proofErr w:type="spellEnd"/>
      <w:r>
        <w:t xml:space="preserve"> (11),</w:t>
      </w: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proofErr w:type="spellStart"/>
      <w:r>
        <w:t>Ц</w:t>
      </w:r>
      <w:r>
        <w:rPr>
          <w:vertAlign w:val="subscript"/>
        </w:rPr>
        <w:t>факт</w:t>
      </w:r>
      <w:r>
        <w:rPr>
          <w:vertAlign w:val="subscript"/>
          <w:lang w:val="en-US"/>
        </w:rPr>
        <w:t>i</w:t>
      </w:r>
      <w:proofErr w:type="spellEnd"/>
      <w:r>
        <w:t xml:space="preserve"> – сметная стоимость услуг по исполнению функций технического заказчика и (или) проведению строительного контроля в уровне цен на дату определения НМЦК, приходящаяся на </w:t>
      </w:r>
      <w:proofErr w:type="spellStart"/>
      <w:r>
        <w:rPr>
          <w:lang w:val="en-US"/>
        </w:rPr>
        <w:t>i</w:t>
      </w:r>
      <w:proofErr w:type="spellEnd"/>
      <w:r>
        <w:t>-й календарный год, рублей;</w:t>
      </w:r>
    </w:p>
    <w:p w:rsidR="00DD29BD" w:rsidRDefault="00DB198A">
      <w:pPr>
        <w:spacing w:line="360" w:lineRule="exact"/>
        <w:ind w:right="-284" w:firstLine="709"/>
        <w:contextualSpacing/>
        <w:jc w:val="both"/>
      </w:pPr>
      <w:proofErr w:type="spellStart"/>
      <w:r>
        <w:t>Ц</w:t>
      </w:r>
      <w:r>
        <w:rPr>
          <w:vertAlign w:val="subscript"/>
        </w:rPr>
        <w:t>факт</w:t>
      </w:r>
      <w:proofErr w:type="spellEnd"/>
      <w:r>
        <w:t xml:space="preserve"> – сметная стоимость услуг по исполнению функций технического заказчика и (или) проведению строительного контроля в уровне цен на дату определения НМЦК, рублей;</w:t>
      </w:r>
    </w:p>
    <w:p w:rsidR="00DD29BD" w:rsidRDefault="00DB198A">
      <w:pPr>
        <w:spacing w:line="360" w:lineRule="exact"/>
        <w:ind w:right="-284" w:firstLine="709"/>
        <w:contextualSpacing/>
        <w:jc w:val="both"/>
      </w:pPr>
      <w:r>
        <w:rPr>
          <w:lang w:val="en-US"/>
        </w:rPr>
        <w:t>D</w:t>
      </w:r>
      <w:r>
        <w:rPr>
          <w:vertAlign w:val="subscript"/>
          <w:lang w:val="en-US"/>
        </w:rPr>
        <w:t>i</w:t>
      </w:r>
      <w:r>
        <w:t xml:space="preserve"> – доля срока исполнения контракта, приходящаяся на </w:t>
      </w:r>
      <w:proofErr w:type="spellStart"/>
      <w:r>
        <w:rPr>
          <w:lang w:val="en-US"/>
        </w:rPr>
        <w:t>i</w:t>
      </w:r>
      <w:proofErr w:type="spellEnd"/>
      <w:r>
        <w:t>-й календарный год, процент.</w:t>
      </w:r>
    </w:p>
    <w:p w:rsidR="00DD29BD" w:rsidRDefault="00DB198A">
      <w:pPr>
        <w:spacing w:line="360" w:lineRule="exact"/>
        <w:ind w:right="-284" w:firstLine="709"/>
        <w:contextualSpacing/>
        <w:jc w:val="both"/>
      </w:pPr>
      <w:r>
        <w:t>39. Доля объема финансового обеспечения для осуществления закупки на срок исполнения контракта, предусмотренная планом-графиком закупок, приходящаяся</w:t>
      </w:r>
      <w:r>
        <w:br/>
        <w:t>на соответствующий календарный год (</w:t>
      </w:r>
      <w:r>
        <w:rPr>
          <w:lang w:val="en-US"/>
        </w:rPr>
        <w:t>Di</w:t>
      </w:r>
      <w:r>
        <w:t>) определяется по формуле (4):</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pPr>
      <w:proofErr w:type="spellStart"/>
      <w:r>
        <w:rPr>
          <w:lang w:val="en-US"/>
        </w:rPr>
        <w:t>D</w:t>
      </w:r>
      <w:r>
        <w:rPr>
          <w:vertAlign w:val="subscript"/>
          <w:lang w:val="en-US"/>
        </w:rPr>
        <w:t>ni</w:t>
      </w:r>
      <w:proofErr w:type="spellEnd"/>
      <w:r>
        <w:t xml:space="preserve"> = </w:t>
      </w:r>
      <w:r>
        <w:rPr>
          <w:lang w:val="en-US"/>
        </w:rPr>
        <w:t>n</w:t>
      </w:r>
      <w:r>
        <w:rPr>
          <w:vertAlign w:val="subscript"/>
        </w:rPr>
        <w:t>г</w:t>
      </w:r>
      <w:proofErr w:type="spellStart"/>
      <w:r>
        <w:rPr>
          <w:vertAlign w:val="subscript"/>
          <w:lang w:val="en-US"/>
        </w:rPr>
        <w:t>i</w:t>
      </w:r>
      <w:proofErr w:type="spellEnd"/>
      <w:r>
        <w:t>/</w:t>
      </w:r>
      <w:r>
        <w:rPr>
          <w:lang w:val="en-US"/>
        </w:rPr>
        <w:t>n</w:t>
      </w:r>
      <w:r>
        <w:t>*100%</w:t>
      </w:r>
      <w:r>
        <w:fldChar w:fldCharType="begin"/>
      </w:r>
      <w:r>
        <w:instrText xml:space="preserve"> QUOTE </w:instrText>
      </w:r>
      <m:oMath>
        <m:f>
          <m:fPr>
            <m:ctrlPr>
              <w:rPr>
                <w:rFonts w:ascii="Cambria Math" w:hAnsi="Cambria Math"/>
                <w:i/>
              </w:rPr>
            </m:ctrlPr>
          </m:fPr>
          <m:num>
            <m:r>
              <m:rPr>
                <m:sty m:val="p"/>
              </m:rPr>
              <w:rPr>
                <w:rFonts w:ascii="Cambria Math" w:hAnsi="Cambria Math"/>
              </w:rPr>
              <m:t>ОФОг</m:t>
            </m:r>
            <m:r>
              <m:rPr>
                <m:sty m:val="p"/>
              </m:rPr>
              <w:rPr>
                <w:rFonts w:ascii="Cambria Math" w:hAnsi="Cambria Math"/>
                <w:lang w:val="en-US"/>
              </w:rPr>
              <m:t>i</m:t>
            </m:r>
          </m:num>
          <m:den>
            <m:r>
              <m:rPr>
                <m:sty m:val="p"/>
              </m:rPr>
              <w:rPr>
                <w:rFonts w:ascii="Cambria Math" w:hAnsi="Cambria Math"/>
              </w:rPr>
              <m:t>JAJ</m:t>
            </m:r>
          </m:den>
        </m:f>
        <m:r>
          <m:rPr>
            <m:sty m:val="p"/>
          </m:rPr>
          <w:rPr>
            <w:rFonts w:ascii="Cambria Math" w:hAnsi="Cambria Math"/>
          </w:rPr>
          <m:t>*100</m:t>
        </m:r>
      </m:oMath>
      <w:r>
        <w:instrText xml:space="preserve"> </w:instrText>
      </w:r>
      <w:r>
        <w:fldChar w:fldCharType="end"/>
      </w:r>
      <w:r>
        <w:t xml:space="preserve"> (4),</w:t>
      </w: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proofErr w:type="spellStart"/>
      <w:r>
        <w:rPr>
          <w:lang w:val="en-US"/>
        </w:rPr>
        <w:t>D</w:t>
      </w:r>
      <w:r>
        <w:rPr>
          <w:vertAlign w:val="subscript"/>
          <w:lang w:val="en-US"/>
        </w:rPr>
        <w:t>ni</w:t>
      </w:r>
      <w:proofErr w:type="spellEnd"/>
      <w:r>
        <w:t xml:space="preserve"> – доля срока исполнения контракта, приходящаяся на </w:t>
      </w:r>
      <w:proofErr w:type="spellStart"/>
      <w:r>
        <w:rPr>
          <w:lang w:val="en-US"/>
        </w:rPr>
        <w:t>i</w:t>
      </w:r>
      <w:proofErr w:type="spellEnd"/>
      <w:r>
        <w:t>-й календарный год, процент;</w:t>
      </w:r>
    </w:p>
    <w:p w:rsidR="00DD29BD" w:rsidRDefault="00DB198A">
      <w:pPr>
        <w:spacing w:line="360" w:lineRule="exact"/>
        <w:ind w:right="-284" w:firstLine="709"/>
        <w:contextualSpacing/>
        <w:jc w:val="both"/>
      </w:pPr>
      <w:r>
        <w:rPr>
          <w:lang w:val="en-US"/>
        </w:rPr>
        <w:t>n</w:t>
      </w:r>
      <w:r>
        <w:t xml:space="preserve"> – общее количество месяцев исполнения обязательств, предусмотренных проектом контракта и (или) графиком исполнения;</w:t>
      </w:r>
    </w:p>
    <w:p w:rsidR="00DD29BD" w:rsidRDefault="00DB198A">
      <w:pPr>
        <w:spacing w:line="360" w:lineRule="exact"/>
        <w:ind w:right="-284" w:firstLine="709"/>
        <w:contextualSpacing/>
        <w:jc w:val="both"/>
      </w:pPr>
      <w:r>
        <w:rPr>
          <w:lang w:val="en-US"/>
        </w:rPr>
        <w:t>n</w:t>
      </w:r>
      <w:r>
        <w:rPr>
          <w:vertAlign w:val="subscript"/>
        </w:rPr>
        <w:t>г</w:t>
      </w:r>
      <w:proofErr w:type="spellStart"/>
      <w:r>
        <w:rPr>
          <w:vertAlign w:val="subscript"/>
          <w:lang w:val="en-US"/>
        </w:rPr>
        <w:t>i</w:t>
      </w:r>
      <w:proofErr w:type="spellEnd"/>
      <w:r>
        <w:t xml:space="preserve"> – количество месяцев исполнения обязательств, предусмотренных проектом контракта и (или) графиком исполнения контракта, приходящееся на </w:t>
      </w:r>
      <w:proofErr w:type="spellStart"/>
      <w:r>
        <w:rPr>
          <w:lang w:val="en-US"/>
        </w:rPr>
        <w:t>i</w:t>
      </w:r>
      <w:proofErr w:type="spellEnd"/>
      <w:r>
        <w:t>-й календарный год в соответствии с пунктом 21 Порядка.</w:t>
      </w: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B198A">
      <w:pPr>
        <w:spacing w:line="240" w:lineRule="atLeast"/>
        <w:ind w:right="-284"/>
        <w:contextualSpacing/>
        <w:jc w:val="center"/>
        <w:rPr>
          <w:b/>
        </w:rPr>
      </w:pPr>
      <w:r>
        <w:rPr>
          <w:b/>
        </w:rPr>
        <w:lastRenderedPageBreak/>
        <w:t>V. Определение НМЦК при осуществлении закупок</w:t>
      </w:r>
    </w:p>
    <w:p w:rsidR="00DD29BD" w:rsidRDefault="00DB198A">
      <w:pPr>
        <w:spacing w:line="240" w:lineRule="atLeast"/>
        <w:ind w:right="-284"/>
        <w:contextualSpacing/>
        <w:jc w:val="center"/>
        <w:rPr>
          <w:b/>
        </w:rPr>
      </w:pPr>
      <w:r>
        <w:rPr>
          <w:b/>
        </w:rPr>
        <w:t xml:space="preserve">работ по строительству, реконструкции, капитальному ремонту, </w:t>
      </w:r>
      <w:r>
        <w:rPr>
          <w:b/>
        </w:rPr>
        <w:br/>
        <w:t xml:space="preserve">сносу объектов капитального строительства, работ по текущему ремонту зданий, строений, сооружений, помещений, строительству некапитальных строений и сооружений, а также </w:t>
      </w:r>
      <w:bookmarkStart w:id="2" w:name="_Hlk206362477"/>
      <w:r>
        <w:rPr>
          <w:b/>
        </w:rPr>
        <w:t xml:space="preserve">иных работ (услуг) в сфере градостроительной деятельности (за исключением территориального планирования), сметная стоимость выполнения (оказания) которых определена в соответствии с частью 1 стати </w:t>
      </w:r>
      <w:bookmarkEnd w:id="2"/>
      <w:r>
        <w:rPr>
          <w:b/>
        </w:rPr>
        <w:t>8</w:t>
      </w:r>
      <w:r>
        <w:rPr>
          <w:b/>
          <w:vertAlign w:val="superscript"/>
        </w:rPr>
        <w:t xml:space="preserve">3 </w:t>
      </w:r>
      <w:r>
        <w:rPr>
          <w:b/>
        </w:rPr>
        <w:t>Кодекса</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 xml:space="preserve">40. При определении НМЦК при осуществлении закупок работ </w:t>
      </w:r>
      <w:r>
        <w:br/>
        <w:t>по строительству, реконструкции, капитальному ремонту, сносу объектов капитального строительства учитываются затраты на работы и услуги, относящиеся к объекту закупки, предусмотренные утвержденной сметной документацией,.</w:t>
      </w:r>
    </w:p>
    <w:p w:rsidR="00DD29BD" w:rsidRDefault="00DB198A">
      <w:pPr>
        <w:spacing w:line="360" w:lineRule="exact"/>
        <w:ind w:right="-284" w:firstLine="709"/>
        <w:contextualSpacing/>
        <w:jc w:val="both"/>
      </w:pPr>
      <w:r>
        <w:t>41. При определении НМЦК при осуществлении закупок работ по текущему ремонту зданий, строений, сооружений, помещений, строительству некапитальных строений и сооружений, а также иных работ (услуг) в сфере градостроительной деятельности (за исключением территориального планирования), сметная стоимость выполнения (оказания) которых определена в соответствии с частью 1 стати 8</w:t>
      </w:r>
      <w:r>
        <w:rPr>
          <w:vertAlign w:val="superscript"/>
        </w:rPr>
        <w:t>3</w:t>
      </w:r>
      <w:r>
        <w:t xml:space="preserve"> Кодекса, учитываются затраты на работы и услуги, относящиеся к предмету закупки, предусмотренные сметной документацией.</w:t>
      </w:r>
    </w:p>
    <w:p w:rsidR="00DD29BD" w:rsidRDefault="00DB198A">
      <w:pPr>
        <w:spacing w:line="360" w:lineRule="exact"/>
        <w:ind w:right="-284" w:firstLine="709"/>
        <w:contextualSpacing/>
        <w:jc w:val="both"/>
      </w:pPr>
      <w:r>
        <w:t>42.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 закупки.</w:t>
      </w:r>
    </w:p>
    <w:p w:rsidR="00DD29BD" w:rsidRDefault="00DD29BD">
      <w:pPr>
        <w:spacing w:line="360" w:lineRule="exact"/>
        <w:ind w:right="-284" w:firstLine="709"/>
        <w:contextualSpacing/>
        <w:jc w:val="both"/>
        <w:sectPr w:rsidR="00DD29BD">
          <w:pgSz w:w="11906" w:h="16838"/>
          <w:pgMar w:top="993" w:right="849" w:bottom="1134" w:left="1134" w:header="709" w:footer="709" w:gutter="0"/>
          <w:pgNumType w:start="1"/>
          <w:cols w:space="708"/>
          <w:titlePg/>
          <w:docGrid w:linePitch="360"/>
        </w:sectPr>
      </w:pPr>
    </w:p>
    <w:p w:rsidR="00DD29BD" w:rsidRDefault="00DB198A">
      <w:pPr>
        <w:widowControl w:val="0"/>
        <w:ind w:left="5245"/>
        <w:jc w:val="center"/>
        <w:rPr>
          <w:rFonts w:eastAsia="Times New Roman"/>
          <w:szCs w:val="28"/>
          <w:lang w:eastAsia="ru-RU"/>
        </w:rPr>
      </w:pPr>
      <w:r>
        <w:rPr>
          <w:rFonts w:eastAsia="Times New Roman"/>
          <w:szCs w:val="28"/>
          <w:lang w:eastAsia="ru-RU"/>
        </w:rPr>
        <w:lastRenderedPageBreak/>
        <w:t xml:space="preserve">Приложение № 2 </w:t>
      </w:r>
      <w:r>
        <w:rPr>
          <w:rFonts w:eastAsia="Times New Roman"/>
          <w:szCs w:val="28"/>
          <w:lang w:eastAsia="ru-RU"/>
        </w:rPr>
        <w:br/>
        <w:t>к приказу Минстроя России</w:t>
      </w:r>
    </w:p>
    <w:p w:rsidR="00DD29BD" w:rsidRDefault="00DD29BD">
      <w:pPr>
        <w:widowControl w:val="0"/>
        <w:ind w:left="5245"/>
        <w:rPr>
          <w:rFonts w:eastAsia="Times New Roman"/>
          <w:szCs w:val="28"/>
          <w:lang w:eastAsia="ru-RU"/>
        </w:rPr>
      </w:pPr>
    </w:p>
    <w:p w:rsidR="00DD29BD" w:rsidRDefault="00DB198A">
      <w:pPr>
        <w:ind w:left="5245" w:right="-1"/>
        <w:jc w:val="center"/>
        <w:rPr>
          <w:rFonts w:eastAsia="Times New Roman"/>
          <w:szCs w:val="28"/>
          <w:lang w:eastAsia="ru-RU"/>
        </w:rPr>
      </w:pPr>
      <w:r>
        <w:rPr>
          <w:rFonts w:eastAsia="Times New Roman"/>
          <w:szCs w:val="28"/>
          <w:lang w:eastAsia="ru-RU"/>
        </w:rPr>
        <w:t>от «___» _</w:t>
      </w:r>
      <w:r>
        <w:rPr>
          <w:rFonts w:eastAsia="Times New Roman"/>
          <w:szCs w:val="28"/>
          <w:shd w:val="clear" w:color="auto" w:fill="FFFFFF"/>
          <w:lang w:eastAsia="ru-RU"/>
        </w:rPr>
        <w:t xml:space="preserve">_______ </w:t>
      </w:r>
      <w:r>
        <w:rPr>
          <w:rFonts w:eastAsia="Times New Roman"/>
          <w:szCs w:val="28"/>
          <w:lang w:eastAsia="ru-RU"/>
        </w:rPr>
        <w:t>2025 г. № _____</w:t>
      </w:r>
    </w:p>
    <w:p w:rsidR="00DD29BD" w:rsidRDefault="00DD29BD">
      <w:pPr>
        <w:widowControl w:val="0"/>
        <w:ind w:left="5245"/>
        <w:rPr>
          <w:rFonts w:eastAsia="Times New Roman"/>
          <w:szCs w:val="28"/>
          <w:lang w:eastAsia="ru-RU"/>
        </w:rPr>
      </w:pPr>
    </w:p>
    <w:p w:rsidR="00DD29BD" w:rsidRDefault="00DD29BD">
      <w:pPr>
        <w:widowControl w:val="0"/>
        <w:ind w:left="5245"/>
        <w:rPr>
          <w:rFonts w:eastAsia="Times New Roman"/>
          <w:szCs w:val="28"/>
          <w:lang w:eastAsia="ru-RU"/>
        </w:rPr>
      </w:pPr>
    </w:p>
    <w:p w:rsidR="00DD29BD" w:rsidRDefault="00DD29BD">
      <w:pPr>
        <w:spacing w:line="276" w:lineRule="auto"/>
        <w:ind w:right="-283"/>
        <w:rPr>
          <w:rFonts w:eastAsia="Times New Roman"/>
          <w:bCs/>
          <w:szCs w:val="28"/>
          <w:lang w:eastAsia="ru-RU"/>
        </w:rPr>
      </w:pPr>
    </w:p>
    <w:p w:rsidR="00DD29BD" w:rsidRDefault="00DB198A">
      <w:pPr>
        <w:spacing w:line="240" w:lineRule="atLeast"/>
        <w:ind w:right="-284"/>
        <w:contextualSpacing/>
        <w:jc w:val="center"/>
        <w:rPr>
          <w:b/>
        </w:rPr>
      </w:pPr>
      <w:r>
        <w:rPr>
          <w:b/>
        </w:rPr>
        <w:t>Методика составления сметы контракта</w:t>
      </w:r>
    </w:p>
    <w:p w:rsidR="00DD29BD" w:rsidRDefault="00DD29BD">
      <w:pPr>
        <w:spacing w:line="240" w:lineRule="atLeast"/>
        <w:ind w:right="-284"/>
        <w:contextualSpacing/>
        <w:jc w:val="center"/>
        <w:rPr>
          <w:b/>
        </w:rPr>
      </w:pPr>
    </w:p>
    <w:p w:rsidR="00DD29BD" w:rsidRDefault="00DB198A">
      <w:pPr>
        <w:spacing w:line="360" w:lineRule="exact"/>
        <w:ind w:right="-284" w:firstLine="709"/>
        <w:contextualSpacing/>
        <w:jc w:val="both"/>
      </w:pPr>
      <w:r>
        <w:t>1. Настоящая Методика устанавливает общие правила составления сметы контракта, особенности заключения и исполнения которых установлены статьей 110</w:t>
      </w:r>
      <w:r>
        <w:rPr>
          <w:vertAlign w:val="superscript"/>
        </w:rPr>
        <w:t>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соответственно – Методика, смета контракта, контракт, Закон </w:t>
      </w:r>
      <w:r>
        <w:br/>
        <w:t xml:space="preserve">№ 44-ФЗ), при подготовке проекта контракта, размещаемого в составе извещения </w:t>
      </w:r>
      <w:r>
        <w:br/>
        <w:t>о закупке, приглашения принять участие в закупке, документации о закупке</w:t>
      </w:r>
      <w:r>
        <w:br/>
        <w:t xml:space="preserve">(если Законом № 44-ФЗ предусмотрена документация о закупке), проекта контракта, заключаемого с единственным поставщиком (подрядчиком, исполнителем), </w:t>
      </w:r>
      <w:r>
        <w:br/>
        <w:t xml:space="preserve">а также при внесении изменений в такие контракты в соответствии </w:t>
      </w:r>
      <w:r>
        <w:br/>
        <w:t>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DD29BD" w:rsidRDefault="00DB198A">
      <w:pPr>
        <w:spacing w:line="360" w:lineRule="exact"/>
        <w:ind w:right="-284" w:firstLine="709"/>
        <w:contextualSpacing/>
        <w:jc w:val="both"/>
      </w:pPr>
      <w:r>
        <w:t xml:space="preserve">2. Смета контракта, предметом которого являются работы (услуги) в сфере градостроительной деятельности (за исключением территориального планирования), указанные в подпункте 1 (в части работ по капитальному ремонту, сносу объектов капитального строительства), 2 - 4 пункта 1 Порядка определения начальной (максимальной) цены контракта, цены контракта, заключаемого с единственным поставщиком (подрядчиком, исполнителем), в сфере градостроительной деятельности (за исключением территориального планирования) </w:t>
      </w:r>
      <w:r>
        <w:br/>
        <w:t>(далее соответственно – Порядок, НМЦК), может быть составлена по решению заказчика в соответствии с Методикой при условии определения НМЦК</w:t>
      </w:r>
      <w:r>
        <w:br/>
        <w:t>в соответствии с Порядком с использованием сметной стоимости таких работ (услуг), определенной в соответствии с частью 1 стати 8</w:t>
      </w:r>
      <w:r>
        <w:rPr>
          <w:vertAlign w:val="superscript"/>
        </w:rPr>
        <w:t>3</w:t>
      </w:r>
      <w:r>
        <w:t xml:space="preserve"> Градостроительного кодекса Российской Федерации (далее – Кодекс) с применением сметных нормативов, сведения о которых включены в федеральный реестр сметных нормативов</w:t>
      </w:r>
      <w:r>
        <w:rPr>
          <w:rStyle w:val="af4"/>
        </w:rPr>
        <w:footnoteReference w:id="8"/>
      </w:r>
      <w:r>
        <w:t>,</w:t>
      </w:r>
      <w:r>
        <w:br/>
        <w:t>и сметных цен строительных ресурсов, размещенных в федеральной государственной информационной системе ценообразования в строительстве</w:t>
      </w:r>
      <w:r>
        <w:rPr>
          <w:rStyle w:val="af4"/>
        </w:rPr>
        <w:footnoteReference w:id="9"/>
      </w:r>
      <w:r>
        <w:t xml:space="preserve"> (далее соответственно – сметная стоимость, ФРСН, ФГИС ЦС).</w:t>
      </w:r>
    </w:p>
    <w:p w:rsidR="00DD29BD" w:rsidRDefault="00DB198A">
      <w:pPr>
        <w:spacing w:line="360" w:lineRule="exact"/>
        <w:ind w:right="-284" w:firstLine="709"/>
        <w:contextualSpacing/>
        <w:jc w:val="both"/>
      </w:pPr>
      <w:r>
        <w:lastRenderedPageBreak/>
        <w:t>3. Перечень, состав и объемы работ (услуг), учитываемых при составлении сметы контракта, определяются заказчиком на основании технической документации</w:t>
      </w:r>
      <w:r>
        <w:rPr>
          <w:rStyle w:val="af4"/>
        </w:rPr>
        <w:footnoteReference w:id="10"/>
      </w:r>
      <w:r>
        <w:t>, к которой в зависимости от описания объекта закупки, в том числе относится:</w:t>
      </w:r>
    </w:p>
    <w:p w:rsidR="00DD29BD" w:rsidRDefault="00DB198A">
      <w:pPr>
        <w:spacing w:line="360" w:lineRule="exact"/>
        <w:ind w:right="-284" w:firstLine="709"/>
        <w:contextualSpacing/>
        <w:jc w:val="both"/>
      </w:pPr>
      <w:r>
        <w:t>а) проектная документация;</w:t>
      </w:r>
    </w:p>
    <w:p w:rsidR="00DD29BD" w:rsidRDefault="00DB198A">
      <w:pPr>
        <w:spacing w:line="360" w:lineRule="exact"/>
        <w:ind w:right="-284" w:firstLine="709"/>
        <w:contextualSpacing/>
        <w:jc w:val="both"/>
      </w:pPr>
      <w:r>
        <w:t xml:space="preserve">б) акт, утвержденный застройщиком или техническим заказчиком </w:t>
      </w:r>
      <w:r>
        <w:br/>
        <w:t>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DD29BD" w:rsidRDefault="00DB198A">
      <w:pPr>
        <w:spacing w:line="360" w:lineRule="exact"/>
        <w:ind w:right="-284" w:firstLine="709"/>
        <w:contextualSpacing/>
        <w:jc w:val="both"/>
      </w:pPr>
      <w:r>
        <w:t>в) проект организации работ по сносу объекта капитального строительства;</w:t>
      </w:r>
    </w:p>
    <w:p w:rsidR="00DD29BD" w:rsidRDefault="00DB198A">
      <w:pPr>
        <w:spacing w:line="360" w:lineRule="exact"/>
        <w:ind w:right="-284" w:firstLine="709"/>
        <w:contextualSpacing/>
        <w:jc w:val="both"/>
      </w:pPr>
      <w:r>
        <w:t>г) техническая документация, не указанная в подпунктах «а» – «в» настоящего пункта, определяющая перечень, состав, объемы работ (услуг), являющихся объектом закупки, а также технические, качественные и количественные характеристики таких работ (услуг) (далее – техническая документация).</w:t>
      </w:r>
    </w:p>
    <w:p w:rsidR="00DD29BD" w:rsidRDefault="00DB198A">
      <w:pPr>
        <w:spacing w:line="360" w:lineRule="exact"/>
        <w:ind w:right="-284" w:firstLine="709"/>
        <w:contextualSpacing/>
        <w:jc w:val="both"/>
      </w:pPr>
      <w:r>
        <w:t>д) рабочей документации (при наличии рабочей документации).</w:t>
      </w:r>
    </w:p>
    <w:p w:rsidR="00DD29BD" w:rsidRDefault="00DB198A">
      <w:pPr>
        <w:spacing w:line="360" w:lineRule="exact"/>
        <w:ind w:right="-284" w:firstLine="709"/>
        <w:contextualSpacing/>
        <w:jc w:val="both"/>
      </w:pPr>
      <w:r>
        <w:t>4. Составление сметы контракта осуществляется в следующей последовательности:</w:t>
      </w:r>
    </w:p>
    <w:p w:rsidR="00DD29BD" w:rsidRDefault="00DB198A">
      <w:pPr>
        <w:spacing w:line="360" w:lineRule="exact"/>
        <w:ind w:right="-284" w:firstLine="709"/>
        <w:contextualSpacing/>
        <w:jc w:val="both"/>
      </w:pPr>
      <w:r>
        <w:t>а) проводится анализ, обобщение и систематизация документации, указанной</w:t>
      </w:r>
      <w:r>
        <w:br/>
        <w:t xml:space="preserve">в пункте 3 Методики, а также сметы на выполнение работ (услуг), являющихся объектом закупки (далее – сметная документация), которая использовалась </w:t>
      </w:r>
      <w:r>
        <w:br/>
        <w:t>при определении НМЦК;</w:t>
      </w:r>
    </w:p>
    <w:p w:rsidR="00DD29BD" w:rsidRDefault="00DB198A">
      <w:pPr>
        <w:spacing w:line="360" w:lineRule="exact"/>
        <w:ind w:right="-284" w:firstLine="709"/>
        <w:contextualSpacing/>
        <w:jc w:val="both"/>
      </w:pPr>
      <w:r>
        <w:t xml:space="preserve">б) составляется ведомость объемов конструктивных решений (элементов), комплексов (видов) работ (услуг) и оборудования, определенных </w:t>
      </w:r>
      <w:r>
        <w:br/>
        <w:t xml:space="preserve">в соответствии документацией, указанной в пункте 3 Методики, и сметной документацией (далее – Ведомость). Рекомендуемый образец Ведомости приведен </w:t>
      </w:r>
      <w:r>
        <w:br/>
        <w:t>в приложении № 1 к Методике;</w:t>
      </w:r>
    </w:p>
    <w:p w:rsidR="00DD29BD" w:rsidRDefault="00DB198A">
      <w:pPr>
        <w:spacing w:line="360" w:lineRule="exact"/>
        <w:ind w:right="-284" w:firstLine="709"/>
        <w:contextualSpacing/>
        <w:jc w:val="both"/>
      </w:pPr>
      <w:r>
        <w:t xml:space="preserve">в) на основании Ведомости без использования сметных нормативов, сведения </w:t>
      </w:r>
      <w:r>
        <w:br/>
        <w:t>о которых включены в ФРСН, и сметных цен строительных ресурсов, размещенных в  ФГИС ЦС, составляется смета контракта. Рекомендуемый образец сметы контракта приведен в приложении № 2 к Методике.</w:t>
      </w:r>
    </w:p>
    <w:p w:rsidR="00DD29BD" w:rsidRDefault="00DB198A">
      <w:pPr>
        <w:spacing w:line="360" w:lineRule="exact"/>
        <w:ind w:right="-284" w:firstLine="709"/>
        <w:contextualSpacing/>
        <w:jc w:val="both"/>
      </w:pPr>
      <w:r>
        <w:t xml:space="preserve">5. При составлении Ведомости определяются детализирующие объект, </w:t>
      </w:r>
      <w:r>
        <w:br/>
        <w:t>в отношении которого выполняются работы (оказываются услуги):</w:t>
      </w:r>
    </w:p>
    <w:p w:rsidR="00DD29BD" w:rsidRDefault="00DB198A">
      <w:pPr>
        <w:spacing w:line="360" w:lineRule="exact"/>
        <w:ind w:right="-284" w:firstLine="709"/>
        <w:contextualSpacing/>
        <w:jc w:val="both"/>
      </w:pPr>
      <w:r>
        <w:t xml:space="preserve">а) конструктивные решения (элементы), включающие в себя необходимые </w:t>
      </w:r>
      <w:r>
        <w:br/>
        <w:t xml:space="preserve">для их возведения (устройства)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системы инженерно-технического обеспечения, в том числе водоснабжение, </w:t>
      </w:r>
      <w:r>
        <w:lastRenderedPageBreak/>
        <w:t>водоотведение, теплоснабжение, газоснабжение, вентиляцию, кондиционирование, электроосвещение, электроснабжение (далее – конструктивные решения (элементы);</w:t>
      </w:r>
    </w:p>
    <w:p w:rsidR="00DD29BD" w:rsidRDefault="00DB198A">
      <w:pPr>
        <w:spacing w:line="360" w:lineRule="exact"/>
        <w:ind w:right="-284" w:firstLine="709"/>
        <w:contextualSpacing/>
        <w:jc w:val="both"/>
      </w:pPr>
      <w:r>
        <w:t>б) комплексы (виды) работ, включающие в себя работы, связанные между собой и необходимые для возведения (устройства) конструктивного решения (элемента);</w:t>
      </w:r>
    </w:p>
    <w:p w:rsidR="00DD29BD" w:rsidRDefault="00DB198A">
      <w:pPr>
        <w:spacing w:line="360" w:lineRule="exact"/>
        <w:ind w:right="-284" w:firstLine="709"/>
        <w:contextualSpacing/>
        <w:jc w:val="both"/>
      </w:pPr>
      <w:r>
        <w:t xml:space="preserve">в) оборудование, мебель, инвентарь (далее - оборудование), входящее в состав конструктивного решения (элемента), комплекса (вида) работ, либо выделяемое </w:t>
      </w:r>
      <w:r>
        <w:br/>
        <w:t>в соответствии с настоящей Методикой отдельной строкой.</w:t>
      </w:r>
    </w:p>
    <w:p w:rsidR="00DD29BD" w:rsidRDefault="00DB198A">
      <w:pPr>
        <w:spacing w:line="360" w:lineRule="exact"/>
        <w:ind w:right="-284" w:firstLine="709"/>
        <w:contextualSpacing/>
        <w:jc w:val="both"/>
      </w:pPr>
      <w:r>
        <w:t xml:space="preserve">6. В отношении каждого конструктивного решения (элемента), комплекса (вида) работ, оборудования (в случае, установленном пунктом 7 Методики) </w:t>
      </w:r>
      <w:r>
        <w:br/>
        <w:t xml:space="preserve">в Ведомости указываются наименование и единицы измерения количественных </w:t>
      </w:r>
      <w:r>
        <w:br/>
        <w:t>и (или) натуральных показателей (объемов работ (услуг), количества оборудования</w:t>
      </w:r>
      <w:r>
        <w:br/>
        <w:t>с указанием количества таких единиц.</w:t>
      </w:r>
    </w:p>
    <w:p w:rsidR="00DD29BD" w:rsidRDefault="00DB198A">
      <w:pPr>
        <w:spacing w:line="360" w:lineRule="exact"/>
        <w:ind w:right="-284" w:firstLine="709"/>
        <w:contextualSpacing/>
        <w:jc w:val="both"/>
      </w:pPr>
      <w:r>
        <w:t xml:space="preserve">7. Отдельной строкой в Ведомости указывается наименование и количество оборудования, поставляемого в рамках контракта (в случае, если оборудование </w:t>
      </w:r>
      <w:r>
        <w:br/>
        <w:t xml:space="preserve">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а также номера сметных расчетов (смет) и позиций </w:t>
      </w:r>
      <w:r>
        <w:br/>
        <w:t>в сметных расчетах (сметах), относящиеся к соответствующему оборудованию.</w:t>
      </w:r>
    </w:p>
    <w:p w:rsidR="00DD29BD" w:rsidRDefault="00DB198A">
      <w:pPr>
        <w:spacing w:line="360" w:lineRule="exact"/>
        <w:ind w:right="-284" w:firstLine="709"/>
        <w:contextualSpacing/>
        <w:jc w:val="both"/>
      </w:pPr>
      <w:r>
        <w:t xml:space="preserve">В случае, если в соответствии с законодательством Российской Федерации </w:t>
      </w:r>
      <w:r>
        <w:br/>
        <w:t xml:space="preserve">о бухгалтерском учете оборудование не подлежит принятию заказчиком </w:t>
      </w:r>
      <w:r>
        <w:br/>
        <w:t>к бухгалтерскому учету в качестве отдельного объекта основных средств, заказчик вправе не выделять такое оборудование отдельной строкой.</w:t>
      </w:r>
    </w:p>
    <w:p w:rsidR="00DD29BD" w:rsidRDefault="00DB198A">
      <w:pPr>
        <w:spacing w:line="360" w:lineRule="exact"/>
        <w:ind w:right="-284" w:firstLine="709"/>
        <w:contextualSpacing/>
        <w:jc w:val="both"/>
      </w:pPr>
      <w:r>
        <w:t>8. При оставлении Ведомости детализация (группировка) работ и затрат выполняется в соответствии с объемно-планировочными и конструктивными особенностями объекта таким образом, чтобы:</w:t>
      </w:r>
    </w:p>
    <w:p w:rsidR="00DD29BD" w:rsidRDefault="00DB198A">
      <w:pPr>
        <w:spacing w:line="360" w:lineRule="exact"/>
        <w:ind w:right="-284" w:firstLine="709"/>
        <w:contextualSpacing/>
        <w:jc w:val="both"/>
      </w:pPr>
      <w:r>
        <w:t>а) конструктивные решения (элементы), комплексы (виды) работ (услуг) формировали отдельные позиции технологически законченных элементов объекта, включающие работы и затраты (в том числе вспомогательные, сопутствующие основному виду работ и затрат), необходимые для их возведения и (или) устройства;</w:t>
      </w:r>
    </w:p>
    <w:p w:rsidR="00DD29BD" w:rsidRDefault="00DB198A">
      <w:pPr>
        <w:spacing w:line="360" w:lineRule="exact"/>
        <w:ind w:right="-284" w:firstLine="709"/>
        <w:contextualSpacing/>
        <w:jc w:val="both"/>
      </w:pPr>
      <w:r>
        <w:t xml:space="preserve">б) идентифицировалось начало, окончание и содержание работ </w:t>
      </w:r>
      <w:r>
        <w:br/>
        <w:t xml:space="preserve">по конструктивному решению (элементу), комплексу (виду) работ (услуг) </w:t>
      </w:r>
      <w:r>
        <w:br/>
        <w:t>для их приемки и оплаты в ходе исполнения контракта.</w:t>
      </w:r>
    </w:p>
    <w:p w:rsidR="00DD29BD" w:rsidRDefault="00DB198A">
      <w:pPr>
        <w:spacing w:line="360" w:lineRule="exact"/>
        <w:ind w:right="-284" w:firstLine="709"/>
        <w:contextualSpacing/>
        <w:jc w:val="both"/>
      </w:pPr>
      <w:r>
        <w:t>9. Количественные и (или) натуральные показатели (объемы работ (услуг) конструктивных решений (элементов) и комплексов (видов) работ (услуг) определяются в Ведомости на основании документации, указанной в пункте 3 Методики, а также количественных показателей, содержащихся в сметной документации (сметных расчетах (сметах).</w:t>
      </w:r>
    </w:p>
    <w:p w:rsidR="00DD29BD" w:rsidRDefault="00DB198A">
      <w:pPr>
        <w:spacing w:line="360" w:lineRule="exact"/>
        <w:ind w:right="-284" w:firstLine="709"/>
        <w:contextualSpacing/>
        <w:jc w:val="both"/>
      </w:pPr>
      <w:r>
        <w:t xml:space="preserve">В случае, если конструктивное решение (элемент), комплекс (вид) работ (услуг) в соответствии с графиком строительно-монтажных работ выполняются поэтапно, </w:t>
      </w:r>
      <w:r>
        <w:br/>
      </w:r>
      <w:r>
        <w:lastRenderedPageBreak/>
        <w:t>из общего объема сгруппированных в них работ (услуг) в Ведомости выделяются отдельные объемы работ (услуг), подлежащие выполнению на соответствующих этапах.</w:t>
      </w:r>
    </w:p>
    <w:p w:rsidR="00DD29BD" w:rsidRDefault="00DB198A">
      <w:pPr>
        <w:spacing w:line="360" w:lineRule="exact"/>
        <w:ind w:right="-284" w:firstLine="709"/>
        <w:contextualSpacing/>
        <w:jc w:val="both"/>
      </w:pPr>
      <w:r>
        <w:t xml:space="preserve">10. Единицы измерения конструктивных решений (элементов), комплексов (видов) работ (услуг), оборудования, выделенного отдельной строкой, указываются </w:t>
      </w:r>
      <w:r>
        <w:br/>
        <w:t>в Ведомости в соответствии с Общероссийским классификатором единиц измерения ОК 015-94 (МК 002-97).</w:t>
      </w:r>
    </w:p>
    <w:p w:rsidR="00DD29BD" w:rsidRDefault="00DB198A">
      <w:pPr>
        <w:spacing w:line="360" w:lineRule="exact"/>
        <w:ind w:right="-284" w:firstLine="709"/>
        <w:contextualSpacing/>
        <w:jc w:val="both"/>
      </w:pPr>
      <w:r>
        <w:t>Выбор единиц измерения конструктивных решений (элементов), комплексов (видов) работ (услуг), оборудования осуществляется в зависимости от характерных особенностей и состава группируемых работ и затрат, данных об объемах, которые получены непосредственно из документации, указанной в пункте 3 Методики.</w:t>
      </w:r>
    </w:p>
    <w:p w:rsidR="00DD29BD" w:rsidRDefault="00DB198A">
      <w:pPr>
        <w:spacing w:line="360" w:lineRule="exact"/>
        <w:ind w:right="-284" w:firstLine="709"/>
        <w:contextualSpacing/>
        <w:jc w:val="both"/>
      </w:pPr>
      <w:r>
        <w:t>При этом работам, объединенным в Ведомости комплекс работ, присваивается единица измерения «штука».</w:t>
      </w:r>
    </w:p>
    <w:p w:rsidR="00DD29BD" w:rsidRDefault="00DB198A">
      <w:pPr>
        <w:spacing w:line="360" w:lineRule="exact"/>
        <w:ind w:right="-284" w:firstLine="709"/>
        <w:contextualSpacing/>
        <w:jc w:val="both"/>
      </w:pPr>
      <w:r>
        <w:t>11. При формировании Ведомости заказчик для идентификации конструктивных и (или) инженерных систем вправе объединить в комплекс (видов) работ (услуг) разнородные работы и затраты, включая оборудование (если такое оборудование не выделено отдельной строкой), сгруппированные в конструктивном решении (элементе), комплексе (виде) работ (работ) (например, система теплоснабжения, система водоснабжения, тепловой узел).</w:t>
      </w:r>
    </w:p>
    <w:p w:rsidR="00DD29BD" w:rsidRDefault="00DB198A">
      <w:pPr>
        <w:spacing w:line="360" w:lineRule="exact"/>
        <w:ind w:right="-284" w:firstLine="709"/>
        <w:contextualSpacing/>
        <w:jc w:val="both"/>
      </w:pPr>
      <w:r>
        <w:t xml:space="preserve">12. В целях дополнительной детализации конструктивных решений (элементов), а также комплексов (видов) работ (услуг), которым заказчиком </w:t>
      </w:r>
      <w:r>
        <w:br/>
        <w:t xml:space="preserve">в Ведомости присвоена единица измерения «штука», заказчик вправе выделить </w:t>
      </w:r>
      <w:r>
        <w:br/>
        <w:t>из этого комплекса (видов) работ (услуг) отдельные виды работ и затрат (произвести разукрупнение работ и затрат внутри конструктивного решения (элемента), комплекса (вида) работ (услуг).</w:t>
      </w:r>
    </w:p>
    <w:p w:rsidR="00DD29BD" w:rsidRDefault="00DB198A">
      <w:pPr>
        <w:spacing w:line="360" w:lineRule="exact"/>
        <w:ind w:right="-284" w:firstLine="709"/>
        <w:contextualSpacing/>
        <w:jc w:val="both"/>
      </w:pPr>
      <w:r>
        <w:t xml:space="preserve">13. При группировке и (или) разукрупнении работ и затрат внутри конструктивного решения (элемента), комплекса (вида) работ (услуг) в соответствии с пунктом 12 Методики при составлении Ведомости заказчик обеспечивает законченность всего объема работ (услуг), подтверждающая качество </w:t>
      </w:r>
      <w:r>
        <w:br/>
        <w:t>и работоспособность законченных конструктивных решений (элементов), комплексов (видов) работ, включая испытания, установленные документацией, указанной в пункте 3 Методики.</w:t>
      </w:r>
    </w:p>
    <w:p w:rsidR="00DD29BD" w:rsidRDefault="00DB198A">
      <w:pPr>
        <w:spacing w:line="360" w:lineRule="exact"/>
        <w:ind w:right="-284" w:firstLine="709"/>
        <w:contextualSpacing/>
        <w:jc w:val="both"/>
      </w:pPr>
      <w:r>
        <w:t>14. На основании Ведомости составляется смета контракта, предусматривающая определение цены каждого конструктивного решения (элемента), комплекса (вида) работ, оборудования, входящего в состав конструктивного решения (элемента), комплекса (вида) работ, либо выделенного отдельной строкой в уровне цен исполнения контракта, всего и на принятую единицу измерения в пределах НМЦК.</w:t>
      </w:r>
    </w:p>
    <w:p w:rsidR="00DD29BD" w:rsidRDefault="00DB198A">
      <w:pPr>
        <w:spacing w:line="360" w:lineRule="exact"/>
        <w:ind w:right="-284" w:firstLine="709"/>
        <w:contextualSpacing/>
        <w:jc w:val="both"/>
      </w:pPr>
      <w:r>
        <w:t>15. В смете контракта указываются:</w:t>
      </w:r>
    </w:p>
    <w:p w:rsidR="00DD29BD" w:rsidRDefault="00DB198A">
      <w:pPr>
        <w:spacing w:line="360" w:lineRule="exact"/>
        <w:ind w:right="-284" w:firstLine="709"/>
        <w:contextualSpacing/>
        <w:jc w:val="both"/>
      </w:pPr>
      <w:r>
        <w:lastRenderedPageBreak/>
        <w:t xml:space="preserve">а) наименование, количество (объем) каждого конструктивного решения (элемента), комплекса (вида) работ (услуг), оборудования, которое в соответствии </w:t>
      </w:r>
      <w:r>
        <w:br/>
        <w:t>с пунктом 7 Методики выделено отдельной строкой, а также их единицы измерения, определенные в Ведомости;</w:t>
      </w:r>
    </w:p>
    <w:p w:rsidR="00DD29BD" w:rsidRDefault="00DB198A">
      <w:pPr>
        <w:spacing w:line="360" w:lineRule="exact"/>
        <w:ind w:right="-284" w:firstLine="709"/>
        <w:contextualSpacing/>
        <w:jc w:val="both"/>
      </w:pPr>
      <w:r>
        <w:t xml:space="preserve">б) цена каждого конструктивного решения (элемента), комплекса (вида) работ (услуг), а также оборудования, которое в соответствии с пунктом 7 Методики выделено отдельной, установленная на единицу измерения и всего, с учетом объема работ (услуг) и количества указанного оборудования. </w:t>
      </w:r>
    </w:p>
    <w:p w:rsidR="00DD29BD" w:rsidRDefault="00DB198A">
      <w:pPr>
        <w:spacing w:line="360" w:lineRule="exact"/>
        <w:ind w:right="-284" w:firstLine="709"/>
        <w:contextualSpacing/>
        <w:jc w:val="both"/>
      </w:pPr>
      <w:r>
        <w:t>в) для оборудования, которое выделено отдельной строкой и согласно законодательству Российской Федерации о бухгалтерском учете подлежит принятию заказчиком к бухгалтерскому учету в качестве отдельного объекта основных средств, при заключении контракта указывается страна происхождения такого оборудования в соответствии предложением участника закупки в отношении объекта закупки.</w:t>
      </w:r>
    </w:p>
    <w:p w:rsidR="00DD29BD" w:rsidRDefault="00DB198A">
      <w:pPr>
        <w:spacing w:line="360" w:lineRule="exact"/>
        <w:ind w:right="-284" w:firstLine="709"/>
        <w:contextualSpacing/>
        <w:jc w:val="both"/>
      </w:pPr>
      <w:r>
        <w:t>16. В составе цены конструктивных решений (элементов), комплексов (видов) работ, в том числе учитываются:</w:t>
      </w:r>
    </w:p>
    <w:p w:rsidR="00DD29BD" w:rsidRDefault="00DB198A">
      <w:pPr>
        <w:spacing w:line="360" w:lineRule="exact"/>
        <w:ind w:right="-284" w:firstLine="709"/>
        <w:contextualSpacing/>
        <w:jc w:val="both"/>
      </w:pPr>
      <w:r>
        <w:t xml:space="preserve">а) прямые затраты (затраты на оплату труда рабочих-строителей, затраты </w:t>
      </w:r>
      <w:r>
        <w:br/>
        <w:t>на приобретение материалов, изделий и конструкций, затраты на эксплуатацию машин и механизмов);</w:t>
      </w:r>
    </w:p>
    <w:p w:rsidR="00DD29BD" w:rsidRDefault="00DB198A">
      <w:pPr>
        <w:spacing w:line="360" w:lineRule="exact"/>
        <w:ind w:right="-284" w:firstLine="709"/>
        <w:contextualSpacing/>
        <w:jc w:val="both"/>
      </w:pPr>
      <w:r>
        <w:t>б) накладные расходы;</w:t>
      </w:r>
    </w:p>
    <w:p w:rsidR="00DD29BD" w:rsidRDefault="00DB198A">
      <w:pPr>
        <w:spacing w:line="360" w:lineRule="exact"/>
        <w:ind w:right="-284" w:firstLine="709"/>
        <w:contextualSpacing/>
        <w:jc w:val="both"/>
      </w:pPr>
      <w:r>
        <w:t>в) сметная прибыль;</w:t>
      </w:r>
    </w:p>
    <w:p w:rsidR="00DD29BD" w:rsidRDefault="00DB198A">
      <w:pPr>
        <w:spacing w:line="360" w:lineRule="exact"/>
        <w:ind w:right="-284" w:firstLine="709"/>
        <w:contextualSpacing/>
        <w:jc w:val="both"/>
      </w:pPr>
      <w:r>
        <w:t xml:space="preserve">г) стоимость оборудования поставки подрядчика (если такое оборудование </w:t>
      </w:r>
      <w:r>
        <w:br/>
        <w:t>не выделено отдельной строкой);</w:t>
      </w:r>
    </w:p>
    <w:p w:rsidR="00DD29BD" w:rsidRDefault="00DB198A">
      <w:pPr>
        <w:spacing w:line="360" w:lineRule="exact"/>
        <w:ind w:right="-284" w:firstLine="709"/>
        <w:contextualSpacing/>
        <w:jc w:val="both"/>
      </w:pPr>
      <w:r>
        <w:t xml:space="preserve">д) затраты на строительство титульных временных зданий и сооружений </w:t>
      </w:r>
      <w:r>
        <w:br/>
        <w:t>(в соответствии с положениями пункта 19 Методики и за исключением случая, указанного в пункте 20 Методики);</w:t>
      </w:r>
    </w:p>
    <w:p w:rsidR="00DD29BD" w:rsidRDefault="00DB198A">
      <w:pPr>
        <w:spacing w:line="360" w:lineRule="exact"/>
        <w:ind w:right="-284" w:firstLine="709"/>
        <w:contextualSpacing/>
        <w:jc w:val="both"/>
      </w:pPr>
      <w:r>
        <w:t>е) непредвиденные работы и затраты подрядчика (за исключением случая, указанного в пункте 17 Методики);</w:t>
      </w:r>
    </w:p>
    <w:p w:rsidR="00DD29BD" w:rsidRDefault="00DB198A">
      <w:pPr>
        <w:spacing w:line="360" w:lineRule="exact"/>
        <w:ind w:right="-284" w:firstLine="709"/>
        <w:contextualSpacing/>
        <w:jc w:val="both"/>
      </w:pPr>
      <w:r>
        <w:t xml:space="preserve">ж) стоимость пусконаладочных работ (если пусконаладочные работы </w:t>
      </w:r>
      <w:r>
        <w:br/>
        <w:t>не выделены заказчиком при формировании Ведомости в отдельную строку);</w:t>
      </w:r>
    </w:p>
    <w:p w:rsidR="00DD29BD" w:rsidRDefault="00DB198A">
      <w:pPr>
        <w:spacing w:line="360" w:lineRule="exact"/>
        <w:ind w:right="-284" w:firstLine="709"/>
        <w:contextualSpacing/>
        <w:jc w:val="both"/>
      </w:pPr>
      <w:r>
        <w:t>з) затраты, связанные с удорожанием работ в зимнее время;</w:t>
      </w:r>
    </w:p>
    <w:p w:rsidR="00DD29BD" w:rsidRDefault="00DB198A">
      <w:pPr>
        <w:spacing w:line="360" w:lineRule="exact"/>
        <w:ind w:right="-284" w:firstLine="709"/>
        <w:contextualSpacing/>
        <w:jc w:val="both"/>
      </w:pPr>
      <w:r>
        <w:t>и) затраты на осуществление работ вахтовым методом;</w:t>
      </w:r>
    </w:p>
    <w:p w:rsidR="00DD29BD" w:rsidRDefault="00DB198A">
      <w:pPr>
        <w:spacing w:line="360" w:lineRule="exact"/>
        <w:ind w:right="-284" w:firstLine="709"/>
        <w:contextualSpacing/>
        <w:jc w:val="both"/>
      </w:pPr>
      <w:r>
        <w:t>к) работы и затраты, относящиеся в соответствии с положениями сметных нормативов к прочим работам и затратам, и не указанные в подпунктах «а» – «и» настоящего пункта, но которые учтены при формировании НМЦК на выполнение соответствующих подрядных работ.</w:t>
      </w:r>
    </w:p>
    <w:p w:rsidR="00DD29BD" w:rsidRDefault="00DB198A">
      <w:pPr>
        <w:spacing w:line="360" w:lineRule="exact"/>
        <w:ind w:right="-284" w:firstLine="709"/>
        <w:contextualSpacing/>
        <w:jc w:val="both"/>
      </w:pPr>
      <w:r>
        <w:t xml:space="preserve">17. Если в контракте установлен порядок использования и взаиморасчетов </w:t>
      </w:r>
      <w:r>
        <w:br/>
        <w:t>по строке сметы контракта «непредвиденные работы и затраты подрядчика», заказчик выделяет резерв средств на непредвиденные работы и затраты в смете контракта отдельной строкой.</w:t>
      </w:r>
    </w:p>
    <w:p w:rsidR="00DD29BD" w:rsidRDefault="00DB198A">
      <w:pPr>
        <w:spacing w:line="360" w:lineRule="exact"/>
        <w:ind w:right="-284" w:firstLine="709"/>
        <w:contextualSpacing/>
        <w:jc w:val="both"/>
      </w:pPr>
      <w:r>
        <w:lastRenderedPageBreak/>
        <w:t xml:space="preserve">18. Работы и затраты, не учтенные в составе цены конструктивных решений (элементов), комплексов (видов) работ, объединяются в комплекс работ (услуг) </w:t>
      </w:r>
      <w:r>
        <w:br/>
        <w:t xml:space="preserve">и выделяются отдельной строкой с единицей измерения «штука». В целях дополнительной детализации комплекса работ (работ) с единицей измерения «штука» </w:t>
      </w:r>
      <w:r>
        <w:br/>
        <w:t xml:space="preserve">заказчик вправе выделить из этого комплекса работ отдельные виды работ и затрат, </w:t>
      </w:r>
      <w:r>
        <w:br/>
        <w:t>а также установить в контракте порядок расчетов по таким строкам сметы контракта.</w:t>
      </w:r>
    </w:p>
    <w:p w:rsidR="00DD29BD" w:rsidRDefault="00DB198A">
      <w:pPr>
        <w:spacing w:line="360" w:lineRule="exact"/>
        <w:ind w:right="-284" w:firstLine="709"/>
        <w:contextualSpacing/>
        <w:jc w:val="both"/>
      </w:pPr>
      <w:r>
        <w:t xml:space="preserve">19. В случае, если затраты на строительство титульных временных зданий </w:t>
      </w:r>
      <w:r>
        <w:br/>
        <w:t xml:space="preserve">и сооружений были определены в сметной документации в процентах </w:t>
      </w:r>
      <w:r>
        <w:br/>
        <w:t xml:space="preserve">от стоимости строительно-монтажных работ, то такие затраты включаются в состав цены конструктивных решений (элементов) и (или) комплексов (видов) работ </w:t>
      </w:r>
      <w:r>
        <w:br/>
        <w:t xml:space="preserve">(за исключением стоимости прочих работ и оборудования, учтенных в цене </w:t>
      </w:r>
      <w:r>
        <w:br/>
        <w:t>на строительство титульных временных зданий и сооружений) пропорционально стоимости указанных строительно-монтажных работ.</w:t>
      </w:r>
    </w:p>
    <w:p w:rsidR="00DD29BD" w:rsidRDefault="00DB198A">
      <w:pPr>
        <w:spacing w:line="360" w:lineRule="exact"/>
        <w:ind w:right="-284" w:firstLine="709"/>
        <w:contextualSpacing/>
        <w:jc w:val="both"/>
      </w:pPr>
      <w:r>
        <w:t xml:space="preserve">20. В случае, если в сметной документации затраты на титульные временные здания и сооружения определялись в соответствии с подпунктом «б» пункта 154 Методики определения сметной стоимости строительства, реконструкции, капитального ремонта, сноса объектов капитального строительства, работ </w:t>
      </w:r>
      <w:r>
        <w:br/>
        <w:t>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t>пр</w:t>
      </w:r>
      <w:proofErr w:type="spellEnd"/>
      <w:r>
        <w:t xml:space="preserve"> (зарегистрирован в Минюсте России 23 сентября 2020 № 59986)</w:t>
      </w:r>
      <w:r>
        <w:rPr>
          <w:rStyle w:val="af4"/>
        </w:rPr>
        <w:footnoteReference w:id="11"/>
      </w:r>
      <w:r>
        <w:t xml:space="preserve">, то такие затраты (включая затраты, связанные с удорожанием работ в зимнее время, учтенные при расчете затрат на титульные временные здания и сооружения) отображаются в смете контракта отдельной строкой с единицей измерения «штука». </w:t>
      </w:r>
    </w:p>
    <w:p w:rsidR="00DD29BD" w:rsidRDefault="00DB198A">
      <w:pPr>
        <w:spacing w:line="360" w:lineRule="exact"/>
        <w:ind w:right="-284" w:firstLine="709"/>
        <w:contextualSpacing/>
        <w:jc w:val="both"/>
      </w:pPr>
      <w:r>
        <w:t>21. Работы и затраты, объединенные в смете контракта в комплекс (вид) работ (услуг) с использованием единицы измерения «штука», в том числе работы и затраты, которые в соответствии с пунктом 12 Методики при составлении Ведомости были детализированы внутри такого комплекса (вида) работ (услуг), не подлежат поэтапной приемке. Приемка работ и затрат, объединенных в указанный комплекс (вид) работ (услуг) с единицей измерения «штука», осуществляется после завершения выполнения всего такого комплекса (вида) работ (услуг).</w:t>
      </w:r>
    </w:p>
    <w:p w:rsidR="00DD29BD" w:rsidRDefault="00DB198A">
      <w:pPr>
        <w:spacing w:line="360" w:lineRule="exact"/>
        <w:ind w:right="-284" w:firstLine="709"/>
        <w:contextualSpacing/>
        <w:jc w:val="both"/>
      </w:pPr>
      <w:r>
        <w:t xml:space="preserve">22. Цена каждого конструктивного решения (элемента), комплекса (вида) работ (услуг), оборудования является равнозначной для всех участников закупки независимо от применяемой ими системы налогообложения и определяется </w:t>
      </w:r>
      <w:r>
        <w:br/>
        <w:t>по формуле (1):</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rPr>
          <w:sz w:val="32"/>
          <w:szCs w:val="32"/>
        </w:rPr>
      </w:pPr>
      <w:r>
        <w:rPr>
          <w:sz w:val="32"/>
          <w:szCs w:val="32"/>
        </w:rPr>
        <w:lastRenderedPageBreak/>
        <w:t xml:space="preserve">Ц = </w:t>
      </w:r>
      <w:proofErr w:type="spellStart"/>
      <w:r>
        <w:rPr>
          <w:sz w:val="32"/>
          <w:szCs w:val="32"/>
        </w:rPr>
        <w:t>С</w:t>
      </w:r>
      <w:r>
        <w:rPr>
          <w:szCs w:val="32"/>
          <w:vertAlign w:val="subscript"/>
        </w:rPr>
        <w:t>пр</w:t>
      </w:r>
      <w:proofErr w:type="spellEnd"/>
      <w:r>
        <w:rPr>
          <w:sz w:val="32"/>
          <w:szCs w:val="32"/>
        </w:rPr>
        <w:t>/С</w:t>
      </w:r>
      <w:r>
        <w:rPr>
          <w:szCs w:val="32"/>
        </w:rPr>
        <w:t>*НМЦК</w:t>
      </w:r>
      <w:r>
        <w:rPr>
          <w:sz w:val="32"/>
          <w:szCs w:val="32"/>
        </w:rPr>
        <w:t>, (1)</w:t>
      </w: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rPr>
          <w:sz w:val="32"/>
          <w:szCs w:val="32"/>
        </w:rPr>
      </w:pPr>
      <w:proofErr w:type="spellStart"/>
      <w:r>
        <w:rPr>
          <w:sz w:val="32"/>
          <w:szCs w:val="32"/>
        </w:rPr>
        <w:t>С</w:t>
      </w:r>
      <w:r>
        <w:rPr>
          <w:szCs w:val="32"/>
          <w:vertAlign w:val="subscript"/>
        </w:rPr>
        <w:t>пр</w:t>
      </w:r>
      <w:proofErr w:type="spellEnd"/>
      <w:r>
        <w:rPr>
          <w:sz w:val="32"/>
          <w:szCs w:val="32"/>
        </w:rPr>
        <w:t xml:space="preserve"> – </w:t>
      </w:r>
      <w:r>
        <w:rPr>
          <w:szCs w:val="28"/>
        </w:rPr>
        <w:t>стоимость работ (услуг), оборудования, сформированная в соответствии с положениями пункт16 и 17 Методики, в уровне цен на дату утверждения проектной документации, рублей;</w:t>
      </w:r>
    </w:p>
    <w:p w:rsidR="00DD29BD" w:rsidRDefault="00DB198A">
      <w:pPr>
        <w:spacing w:line="360" w:lineRule="exact"/>
        <w:ind w:right="-284" w:firstLine="709"/>
        <w:contextualSpacing/>
        <w:jc w:val="both"/>
        <w:rPr>
          <w:szCs w:val="28"/>
        </w:rPr>
      </w:pPr>
      <w:r>
        <w:rPr>
          <w:sz w:val="32"/>
          <w:szCs w:val="32"/>
        </w:rPr>
        <w:t>С</w:t>
      </w:r>
      <w:r>
        <w:t xml:space="preserve"> – сметная стоимость работ (услуг), оборудования в уровне цен утвержденной сметной документации по объекту закупки, рублей</w:t>
      </w:r>
      <w:r>
        <w:rPr>
          <w:szCs w:val="28"/>
        </w:rPr>
        <w:t>;</w:t>
      </w:r>
    </w:p>
    <w:p w:rsidR="00DD29BD" w:rsidRDefault="00DB198A">
      <w:pPr>
        <w:spacing w:line="360" w:lineRule="exact"/>
        <w:ind w:right="-284" w:firstLine="709"/>
        <w:contextualSpacing/>
        <w:jc w:val="both"/>
        <w:rPr>
          <w:szCs w:val="28"/>
        </w:rPr>
      </w:pPr>
      <w:r>
        <w:t>НМЦК</w:t>
      </w:r>
      <w:r>
        <w:rPr>
          <w:sz w:val="32"/>
          <w:szCs w:val="32"/>
        </w:rPr>
        <w:t xml:space="preserve"> </w:t>
      </w:r>
      <w:r>
        <w:t>– начальная (максимальная) цена контракта по объекту закупки</w:t>
      </w:r>
      <w:r>
        <w:rPr>
          <w:szCs w:val="28"/>
        </w:rPr>
        <w:t xml:space="preserve">, определенная в соответствии с </w:t>
      </w:r>
      <w:r>
        <w:t>Порядком.</w:t>
      </w:r>
    </w:p>
    <w:p w:rsidR="00DD29BD" w:rsidRDefault="00DB198A">
      <w:pPr>
        <w:spacing w:line="360" w:lineRule="exact"/>
        <w:ind w:right="-284" w:firstLine="709"/>
        <w:contextualSpacing/>
        <w:jc w:val="both"/>
      </w:pPr>
      <w:r>
        <w:rPr>
          <w:szCs w:val="28"/>
        </w:rPr>
        <w:t xml:space="preserve">Полученные значения округляются по математическим правилам округления </w:t>
      </w:r>
      <w:r>
        <w:rPr>
          <w:szCs w:val="28"/>
        </w:rPr>
        <w:br/>
        <w:t>до 2 знаков после запятой.</w:t>
      </w:r>
    </w:p>
    <w:p w:rsidR="00DD29BD" w:rsidRDefault="00DB198A">
      <w:pPr>
        <w:spacing w:line="360" w:lineRule="exact"/>
        <w:ind w:right="-284" w:firstLine="709"/>
        <w:contextualSpacing/>
        <w:jc w:val="both"/>
      </w:pPr>
      <w:r>
        <w:t>При этом ставка и суммы налога на добавленную стоимость при определении цены каждого конструктивного решения (элемента), комплекса (вида) работ (услуг), оборудования, которое выделено отдельной строкой отдельно, а также в итоговых суммах по смете контракта, не указываются и не выделяются.</w:t>
      </w:r>
    </w:p>
    <w:p w:rsidR="00DD29BD" w:rsidRDefault="00DB198A">
      <w:pPr>
        <w:spacing w:line="360" w:lineRule="exact"/>
        <w:ind w:right="-284" w:firstLine="709"/>
        <w:contextualSpacing/>
        <w:jc w:val="both"/>
      </w:pPr>
      <w:r>
        <w:t xml:space="preserve">23. В случае, если для конструктивного решения (элемента) или комплекса (вида) работ (услуг) в Ведомости были выделены объемы работ, которые выполняются поэтапно, расчет цены такого конструктивного решения (элемента) </w:t>
      </w:r>
      <w:r>
        <w:br/>
        <w:t>или комплекса (вида) работ (услуг) выполняется как на общий объем работ (всего), так и на каждый из выделенных этапов исходя из объемов таких работ, отраженных в Ведомости.</w:t>
      </w:r>
    </w:p>
    <w:p w:rsidR="00DD29BD" w:rsidRDefault="00DB198A">
      <w:pPr>
        <w:spacing w:line="360" w:lineRule="exact"/>
        <w:ind w:right="-284" w:firstLine="709"/>
        <w:contextualSpacing/>
        <w:jc w:val="both"/>
      </w:pPr>
      <w:r>
        <w:t xml:space="preserve">24. Заказчик при составлении проекта сметы контракта после определения </w:t>
      </w:r>
      <w:r>
        <w:br/>
        <w:t>в соответствии с пунктами 22 и 23 Методики цен конструктивных решений (элементов), комплексов (видов) работ (услуг), оборудования вправе:</w:t>
      </w:r>
    </w:p>
    <w:p w:rsidR="00DD29BD" w:rsidRDefault="00DB198A">
      <w:pPr>
        <w:spacing w:line="360" w:lineRule="exact"/>
        <w:ind w:right="-284" w:firstLine="709"/>
        <w:contextualSpacing/>
        <w:jc w:val="both"/>
      </w:pPr>
      <w:r>
        <w:t>а) провести в соответствии с пунктами 26 и 27 Методики анализ рыночных цен в отношении сформированных конструктивных решений (элементов), комплексов (видов) работ (услуг) (далее – анализ рыночных цен);</w:t>
      </w:r>
    </w:p>
    <w:p w:rsidR="00DD29BD" w:rsidRDefault="00DB198A">
      <w:pPr>
        <w:spacing w:line="360" w:lineRule="exact"/>
        <w:ind w:right="-284" w:firstLine="709"/>
        <w:contextualSpacing/>
        <w:jc w:val="both"/>
      </w:pPr>
      <w:r>
        <w:t xml:space="preserve">б) изменить в пределах НМЦК цены конструктивных решений (элементов), комплексов (видов) работ (услуг) на основании цен конструктивных решений (элементов), комплексов (видов) работ (услуг), полученных по результатам анализа рыночных цен. </w:t>
      </w:r>
    </w:p>
    <w:p w:rsidR="00DD29BD" w:rsidRDefault="00DB198A">
      <w:pPr>
        <w:spacing w:line="360" w:lineRule="exact"/>
        <w:ind w:right="-284" w:firstLine="709"/>
        <w:contextualSpacing/>
        <w:jc w:val="both"/>
      </w:pPr>
      <w:r>
        <w:t xml:space="preserve">25. Изменение цены каждого конструктивного решения (элемента), комплекса (вида) работ, оборудования по результатам анализа рынка осуществляется в пределах НМЦК и не может приводить к изменению цены каждого такого конструктивного решения (элемента), комплекса (вида) работ, оборудования, рассчитанной </w:t>
      </w:r>
      <w:r>
        <w:br/>
        <w:t>в соответствии с пунктами 22 и 23 Методики, более чем на 30 процентов.</w:t>
      </w:r>
    </w:p>
    <w:p w:rsidR="00DD29BD" w:rsidRDefault="00DB198A">
      <w:pPr>
        <w:spacing w:line="360" w:lineRule="exact"/>
        <w:ind w:right="-284" w:firstLine="709"/>
        <w:contextualSpacing/>
        <w:jc w:val="both"/>
      </w:pPr>
      <w:r>
        <w:t xml:space="preserve">26. Для проведения указанного в пункте 24 Методики анализа рыночных цен конструктивных решений (элементов), комплексов (видов) работ (услуг), </w:t>
      </w:r>
      <w:r>
        <w:lastRenderedPageBreak/>
        <w:t xml:space="preserve">оборудования заказчик использует метод, предусмотренный пунктом 1 части 1 </w:t>
      </w:r>
      <w:r>
        <w:br/>
        <w:t>статьи 22 Закона № 44-ФЗ.</w:t>
      </w:r>
    </w:p>
    <w:p w:rsidR="00DD29BD" w:rsidRDefault="00DB198A">
      <w:pPr>
        <w:spacing w:line="360" w:lineRule="exact"/>
        <w:ind w:right="-284" w:firstLine="709"/>
        <w:contextualSpacing/>
        <w:jc w:val="both"/>
      </w:pPr>
      <w:r>
        <w:t>27. При проведении в соответствии с пунктами 24 – 26 Методики анализа рыночных цен заказчик указывает:</w:t>
      </w:r>
    </w:p>
    <w:p w:rsidR="00DD29BD" w:rsidRDefault="00DB198A">
      <w:pPr>
        <w:spacing w:line="360" w:lineRule="exact"/>
        <w:ind w:right="-284" w:firstLine="709"/>
        <w:contextualSpacing/>
        <w:jc w:val="both"/>
      </w:pPr>
      <w:r>
        <w:t>а) сметную стоимость конструктивных решений (элементов), комплексов (видов) работ (услуг), оборудования в уровне цен утвержденной сметной документации;</w:t>
      </w:r>
    </w:p>
    <w:p w:rsidR="00DD29BD" w:rsidRDefault="00DB198A">
      <w:pPr>
        <w:spacing w:line="360" w:lineRule="exact"/>
        <w:ind w:right="-284" w:firstLine="709"/>
        <w:contextualSpacing/>
        <w:jc w:val="both"/>
      </w:pPr>
      <w:r>
        <w:t xml:space="preserve">б) цены конструктивных решений (элементов), комплексов (видов) работ (услуг); оборудования, рассчитанные в соответствии с пунктами 22 и 23 Методики; </w:t>
      </w:r>
    </w:p>
    <w:p w:rsidR="00DD29BD" w:rsidRDefault="00DB198A">
      <w:pPr>
        <w:spacing w:line="360" w:lineRule="exact"/>
        <w:ind w:right="-284" w:firstLine="709"/>
        <w:contextualSpacing/>
        <w:jc w:val="both"/>
      </w:pPr>
      <w:r>
        <w:t>в) информацию о том, что цена является равнозначной для всех заинтересованных лиц независимо от применяемой ими системы налогообложения;</w:t>
      </w:r>
    </w:p>
    <w:p w:rsidR="00DD29BD" w:rsidRDefault="00DB198A">
      <w:pPr>
        <w:spacing w:line="360" w:lineRule="exact"/>
        <w:ind w:right="-284" w:firstLine="709"/>
        <w:contextualSpacing/>
        <w:jc w:val="both"/>
      </w:pPr>
      <w:r>
        <w:t>г) предполагаемые сроки начала и окончания работ (услуг), гарантийные сроки;</w:t>
      </w:r>
    </w:p>
    <w:p w:rsidR="00DD29BD" w:rsidRDefault="00DB198A">
      <w:pPr>
        <w:spacing w:line="360" w:lineRule="exact"/>
        <w:ind w:right="-284" w:firstLine="709"/>
        <w:contextualSpacing/>
        <w:jc w:val="both"/>
      </w:pPr>
      <w:r>
        <w:t xml:space="preserve">д) условия исполнения контракта, которые могут оказывать влияние на стоимость работ (услуг), являющихся предметом контракта, в том числе о порядке выплаты аванса (при его наличии), о наличии установленных заказчиком требований </w:t>
      </w:r>
      <w:r>
        <w:br/>
        <w:t xml:space="preserve">об обеспечении исполнения контракта, требований об обеспечении исполнения гарантийных обязательств по контракту (при наличии таких обязательств), </w:t>
      </w:r>
      <w:r>
        <w:br/>
        <w:t>а также о наличии требований, предусмотренных статьей 14 Закона № 44-ФЗ.</w:t>
      </w:r>
    </w:p>
    <w:p w:rsidR="00DD29BD" w:rsidRDefault="00DB198A">
      <w:pPr>
        <w:spacing w:line="360" w:lineRule="exact"/>
        <w:ind w:right="-284" w:firstLine="709"/>
        <w:contextualSpacing/>
        <w:jc w:val="both"/>
      </w:pPr>
      <w:r>
        <w:t xml:space="preserve">28. Цена конструктивных решений (элементов), комплексов (видов) работ (услуг), оборудования, полученная заказчиком по результатам анализа рыночных цен, признается ценой, рассчитанной в соответствии с пунктами 22 и 23 Методики, </w:t>
      </w:r>
      <w:r>
        <w:br/>
        <w:t xml:space="preserve">в том числе учитывает ее изменение с учетом фактической и прогнозной инфляции на срок исполнения контракта. </w:t>
      </w:r>
    </w:p>
    <w:p w:rsidR="00DD29BD" w:rsidRDefault="00DB198A">
      <w:pPr>
        <w:spacing w:line="360" w:lineRule="exact"/>
        <w:ind w:right="-284" w:firstLine="709"/>
        <w:contextualSpacing/>
        <w:jc w:val="both"/>
      </w:pPr>
      <w:r>
        <w:t>29. При заключении контракта цена каждого конструктивного решения (элемента), комплекса (вида) работ (услуг), оборудования и иных позиций сметы контракта на единицу их измерения, а также их общая стоимость, указанные в смете контракта, определяются (в рублях) путем уменьшения таких цен и общей стоимости пропорционально снижению НМЦК, предложенному участником закупки, с которым в соответствии с Законом № 44-ФЗ заключается контракт.</w:t>
      </w:r>
    </w:p>
    <w:p w:rsidR="00DD29BD" w:rsidRDefault="00DB198A">
      <w:pPr>
        <w:spacing w:line="360" w:lineRule="exact"/>
        <w:ind w:right="-284" w:firstLine="709"/>
        <w:contextualSpacing/>
        <w:jc w:val="both"/>
      </w:pPr>
      <w:r>
        <w:t>30. В соответствии с частью 6</w:t>
      </w:r>
      <w:r>
        <w:rPr>
          <w:vertAlign w:val="superscript"/>
        </w:rPr>
        <w:t>1</w:t>
      </w:r>
      <w:r>
        <w:t xml:space="preserve"> стати 110</w:t>
      </w:r>
      <w:r>
        <w:rPr>
          <w:vertAlign w:val="superscript"/>
        </w:rPr>
        <w:t>2</w:t>
      </w:r>
      <w:r>
        <w:t xml:space="preserve"> Закона № 44-ФЗ формирование документа о приемке, предусмотренного частью 7 статьи 94 Закона № 44-ФЗ, </w:t>
      </w:r>
      <w:r>
        <w:br/>
        <w:t xml:space="preserve">в том числе в части наименований и цен конструктивных решений (элементов), комплексов (видов) работ (услуг), оборудования и иных позиций сметы контракта </w:t>
      </w:r>
      <w:r>
        <w:br/>
        <w:t xml:space="preserve">на единицу их измерения, осуществляется согласно наименованиям и ценам конструктивных решений (элементов), комплексов (видов) работ (услуг), оборудования и иных позиций, определенным в смете контракта, и в соответствии </w:t>
      </w:r>
      <w:r>
        <w:br/>
        <w:t>с фактически выполненными работами (оказанными услугами).</w:t>
      </w:r>
    </w:p>
    <w:p w:rsidR="00DD29BD" w:rsidRDefault="00DB198A">
      <w:pPr>
        <w:spacing w:line="360" w:lineRule="exact"/>
        <w:ind w:right="-284" w:firstLine="709"/>
        <w:contextualSpacing/>
        <w:jc w:val="both"/>
      </w:pPr>
      <w:r>
        <w:t xml:space="preserve">31. Внесение изменений в смету контракта осуществляется в соответствии </w:t>
      </w:r>
      <w:r>
        <w:br/>
        <w:t>с пунктами 32 – 37 Методики в случаях, установленных Законом № 44-ФЗ.</w:t>
      </w:r>
    </w:p>
    <w:p w:rsidR="00DD29BD" w:rsidRDefault="00DB198A">
      <w:pPr>
        <w:spacing w:line="360" w:lineRule="exact"/>
        <w:ind w:right="-284" w:firstLine="709"/>
        <w:contextualSpacing/>
        <w:jc w:val="both"/>
      </w:pPr>
      <w:r>
        <w:lastRenderedPageBreak/>
        <w:t xml:space="preserve">32. В ходе исполнения контракта по соглашению сторон и по основаниям, предусмотренным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заказчик, </w:t>
      </w:r>
      <w:r>
        <w:br/>
        <w:t>в том числе по предложению подрядчика, вправе:</w:t>
      </w:r>
    </w:p>
    <w:p w:rsidR="00DD29BD" w:rsidRDefault="00DB198A">
      <w:pPr>
        <w:spacing w:line="360" w:lineRule="exact"/>
        <w:ind w:right="-284" w:firstLine="709"/>
        <w:contextualSpacing/>
        <w:jc w:val="both"/>
      </w:pPr>
      <w:r>
        <w:t xml:space="preserve">а) разукрупнить и (или) детализировать работы и затраты, объединенные </w:t>
      </w:r>
      <w:r>
        <w:br/>
        <w:t xml:space="preserve">в конструктивном решении (элементе), и (или) в комплексе (виде) работ (услуг) </w:t>
      </w:r>
      <w:r>
        <w:br/>
        <w:t xml:space="preserve">с единицей измерения «штука», при этом сумма цен таких работ и затрат не может превышать цену такого конструктивного решения (элемента) и (или) комплекса (вида) работ (услуг) с единицей измерения «штука» до их разукрупнения. </w:t>
      </w:r>
    </w:p>
    <w:p w:rsidR="00DD29BD" w:rsidRDefault="00DB198A">
      <w:pPr>
        <w:spacing w:line="360" w:lineRule="exact"/>
        <w:ind w:right="-284" w:firstLine="709"/>
        <w:contextualSpacing/>
        <w:jc w:val="both"/>
      </w:pPr>
      <w:r>
        <w:t xml:space="preserve">б) при детализации конструктивного решения (элемента) и (или) комплекса (вида) работ (услуг) с единицей измерения «штука», выделить из таких конструктивных решений (элементов) и (или) комплексов (видов) работ (услуг) </w:t>
      </w:r>
      <w:r>
        <w:br/>
        <w:t>с единицей измерения «штука» отдельные виды работ и затрат внутри конструктивного решения (элемента), комплекса (вида) работ (услуг);</w:t>
      </w:r>
    </w:p>
    <w:p w:rsidR="00DD29BD" w:rsidRDefault="00DB198A">
      <w:pPr>
        <w:spacing w:line="360" w:lineRule="exact"/>
        <w:ind w:right="-284" w:firstLine="709"/>
        <w:contextualSpacing/>
        <w:jc w:val="both"/>
      </w:pPr>
      <w:r>
        <w:t>в) изменить в пределах цены контракта цены конструктивных решений (элементов), комплексов (видов) работ, оборудования в соответствии с положениями пунктов 24 – 28 Методики (при наличии обосновывающих документов, представленных подрядчиком).</w:t>
      </w:r>
    </w:p>
    <w:p w:rsidR="00DD29BD" w:rsidRDefault="00DB198A">
      <w:pPr>
        <w:spacing w:line="360" w:lineRule="exact"/>
        <w:ind w:right="-284" w:firstLine="709"/>
        <w:contextualSpacing/>
        <w:jc w:val="both"/>
      </w:pPr>
      <w:r>
        <w:t xml:space="preserve">33. Разукрупнение работ и затрат внутри комплекса работ осуществляется </w:t>
      </w:r>
      <w:r>
        <w:br/>
        <w:t>с соблюдением требований, установленных пунктом 13 Методики.</w:t>
      </w:r>
    </w:p>
    <w:p w:rsidR="00DD29BD" w:rsidRDefault="00DB198A">
      <w:pPr>
        <w:spacing w:line="360" w:lineRule="exact"/>
        <w:ind w:right="-284" w:firstLine="709"/>
        <w:contextualSpacing/>
        <w:jc w:val="both"/>
      </w:pPr>
      <w:r>
        <w:t xml:space="preserve">34. В случае внесения изменений документацию, указанную в пункте 3 Методики, в связи с включением в нее ранее не предусмотренных такой документацией видов работ и (или) затрат, цена таких работ и затрат определяется </w:t>
      </w:r>
      <w:r>
        <w:br/>
        <w:t xml:space="preserve">в соответствии с положениями пунктов 3 – 25 Методики, с учетом затрат, включенных в состав цены конструктивных решений (элементов), комплексов (видов) работ </w:t>
      </w:r>
      <w:r>
        <w:rPr>
          <w:sz w:val="32"/>
          <w:szCs w:val="32"/>
        </w:rPr>
        <w:t>(</w:t>
      </w:r>
      <w:proofErr w:type="spellStart"/>
      <w:r>
        <w:rPr>
          <w:sz w:val="32"/>
          <w:szCs w:val="32"/>
        </w:rPr>
        <w:t>Ц</w:t>
      </w:r>
      <w:r>
        <w:rPr>
          <w:sz w:val="32"/>
          <w:szCs w:val="32"/>
          <w:vertAlign w:val="subscript"/>
        </w:rPr>
        <w:t>доп</w:t>
      </w:r>
      <w:proofErr w:type="spellEnd"/>
      <w:r>
        <w:rPr>
          <w:sz w:val="32"/>
          <w:szCs w:val="32"/>
          <w:vertAlign w:val="subscript"/>
        </w:rPr>
        <w:t>. раб.</w:t>
      </w:r>
      <w:r>
        <w:rPr>
          <w:sz w:val="32"/>
          <w:szCs w:val="32"/>
        </w:rPr>
        <w:t>)</w:t>
      </w:r>
      <w:r>
        <w:t>, по формуле (2):</w:t>
      </w:r>
    </w:p>
    <w:p w:rsidR="00DD29BD" w:rsidRDefault="00DD29BD">
      <w:pPr>
        <w:spacing w:line="360" w:lineRule="exact"/>
        <w:ind w:right="-284" w:firstLine="709"/>
        <w:contextualSpacing/>
        <w:jc w:val="both"/>
      </w:pPr>
    </w:p>
    <w:p w:rsidR="00DD29BD" w:rsidRDefault="00DB198A">
      <w:pPr>
        <w:spacing w:line="360" w:lineRule="exact"/>
        <w:ind w:right="-284"/>
        <w:contextualSpacing/>
        <w:jc w:val="center"/>
        <w:rPr>
          <w:sz w:val="32"/>
          <w:szCs w:val="32"/>
        </w:rPr>
      </w:pPr>
      <w:proofErr w:type="spellStart"/>
      <w:r>
        <w:rPr>
          <w:sz w:val="32"/>
          <w:szCs w:val="32"/>
        </w:rPr>
        <w:t>Ц</w:t>
      </w:r>
      <w:r>
        <w:rPr>
          <w:sz w:val="32"/>
          <w:szCs w:val="32"/>
          <w:vertAlign w:val="subscript"/>
        </w:rPr>
        <w:t>доп</w:t>
      </w:r>
      <w:proofErr w:type="spellEnd"/>
      <w:r>
        <w:rPr>
          <w:sz w:val="32"/>
          <w:szCs w:val="32"/>
          <w:vertAlign w:val="subscript"/>
        </w:rPr>
        <w:t xml:space="preserve">. раб. </w:t>
      </w:r>
      <w:r>
        <w:rPr>
          <w:sz w:val="32"/>
          <w:szCs w:val="32"/>
        </w:rPr>
        <w:t xml:space="preserve">= </w:t>
      </w:r>
      <w:proofErr w:type="spellStart"/>
      <w:r>
        <w:rPr>
          <w:sz w:val="32"/>
          <w:szCs w:val="32"/>
        </w:rPr>
        <w:t>Ц</w:t>
      </w:r>
      <w:r>
        <w:rPr>
          <w:sz w:val="32"/>
          <w:szCs w:val="32"/>
          <w:vertAlign w:val="subscript"/>
        </w:rPr>
        <w:t>подр</w:t>
      </w:r>
      <w:proofErr w:type="spellEnd"/>
      <w:r>
        <w:rPr>
          <w:sz w:val="32"/>
          <w:szCs w:val="32"/>
          <w:vertAlign w:val="subscript"/>
        </w:rPr>
        <w:t xml:space="preserve">. раб. </w:t>
      </w:r>
      <w:r>
        <w:rPr>
          <w:sz w:val="32"/>
          <w:szCs w:val="32"/>
        </w:rPr>
        <w:t xml:space="preserve">* </w:t>
      </w:r>
      <w:proofErr w:type="spellStart"/>
      <w:r>
        <w:rPr>
          <w:sz w:val="32"/>
          <w:szCs w:val="32"/>
        </w:rPr>
        <w:t>К</w:t>
      </w:r>
      <w:r>
        <w:rPr>
          <w:sz w:val="32"/>
          <w:szCs w:val="32"/>
          <w:vertAlign w:val="subscript"/>
        </w:rPr>
        <w:t>инфл</w:t>
      </w:r>
      <w:proofErr w:type="spellEnd"/>
      <w:r>
        <w:rPr>
          <w:sz w:val="32"/>
          <w:szCs w:val="32"/>
          <w:vertAlign w:val="subscript"/>
        </w:rPr>
        <w:t xml:space="preserve">. </w:t>
      </w:r>
      <w:r>
        <w:rPr>
          <w:sz w:val="32"/>
          <w:szCs w:val="32"/>
        </w:rPr>
        <w:t xml:space="preserve">* </w:t>
      </w:r>
      <w:proofErr w:type="spellStart"/>
      <w:r>
        <w:rPr>
          <w:sz w:val="32"/>
          <w:szCs w:val="32"/>
        </w:rPr>
        <w:t>К</w:t>
      </w:r>
      <w:r>
        <w:rPr>
          <w:sz w:val="32"/>
          <w:szCs w:val="32"/>
          <w:vertAlign w:val="subscript"/>
        </w:rPr>
        <w:t>тенд</w:t>
      </w:r>
      <w:proofErr w:type="spellEnd"/>
      <w:r>
        <w:rPr>
          <w:sz w:val="32"/>
          <w:szCs w:val="32"/>
          <w:vertAlign w:val="subscript"/>
        </w:rPr>
        <w:t>.</w:t>
      </w:r>
      <w:r>
        <w:rPr>
          <w:sz w:val="32"/>
          <w:szCs w:val="32"/>
        </w:rPr>
        <w:t xml:space="preserve">, </w:t>
      </w:r>
      <w:r>
        <w:rPr>
          <w:szCs w:val="32"/>
        </w:rPr>
        <w:t>(2)</w:t>
      </w:r>
    </w:p>
    <w:p w:rsidR="00DD29BD" w:rsidRDefault="00DD29BD">
      <w:pPr>
        <w:spacing w:line="360" w:lineRule="exact"/>
        <w:ind w:right="-284"/>
        <w:contextualSpacing/>
        <w:jc w:val="center"/>
        <w:rPr>
          <w:sz w:val="32"/>
          <w:szCs w:val="32"/>
        </w:rPr>
      </w:pPr>
    </w:p>
    <w:p w:rsidR="00DD29BD" w:rsidRDefault="00DB198A">
      <w:pPr>
        <w:spacing w:line="360" w:lineRule="exact"/>
        <w:ind w:right="-284" w:firstLine="709"/>
        <w:contextualSpacing/>
        <w:jc w:val="both"/>
        <w:rPr>
          <w:sz w:val="32"/>
          <w:szCs w:val="32"/>
        </w:rPr>
      </w:pPr>
      <w:proofErr w:type="spellStart"/>
      <w:r>
        <w:rPr>
          <w:sz w:val="32"/>
          <w:szCs w:val="32"/>
        </w:rPr>
        <w:t>Ц</w:t>
      </w:r>
      <w:r>
        <w:rPr>
          <w:sz w:val="32"/>
          <w:szCs w:val="32"/>
          <w:vertAlign w:val="subscript"/>
        </w:rPr>
        <w:t>подр</w:t>
      </w:r>
      <w:proofErr w:type="spellEnd"/>
      <w:r>
        <w:rPr>
          <w:sz w:val="32"/>
          <w:szCs w:val="32"/>
          <w:vertAlign w:val="subscript"/>
        </w:rPr>
        <w:t>. раб.</w:t>
      </w:r>
      <w:r>
        <w:rPr>
          <w:sz w:val="32"/>
          <w:szCs w:val="32"/>
        </w:rPr>
        <w:t xml:space="preserve"> – </w:t>
      </w:r>
      <w:r>
        <w:t>сметная стоимость работ и (или) затрат, ранее не предусмотренных документацией, указанной в пункте 3 Методики, в уровне цен утвержденной сметной документации;</w:t>
      </w:r>
    </w:p>
    <w:p w:rsidR="00DD29BD" w:rsidRDefault="00DB198A">
      <w:pPr>
        <w:spacing w:line="360" w:lineRule="exact"/>
        <w:ind w:right="-284" w:firstLine="709"/>
        <w:contextualSpacing/>
        <w:jc w:val="both"/>
        <w:rPr>
          <w:sz w:val="32"/>
          <w:szCs w:val="32"/>
        </w:rPr>
      </w:pPr>
      <w:proofErr w:type="spellStart"/>
      <w:r>
        <w:rPr>
          <w:sz w:val="32"/>
          <w:szCs w:val="32"/>
        </w:rPr>
        <w:t>К</w:t>
      </w:r>
      <w:r>
        <w:rPr>
          <w:sz w:val="32"/>
          <w:szCs w:val="32"/>
          <w:vertAlign w:val="subscript"/>
        </w:rPr>
        <w:t>инфл</w:t>
      </w:r>
      <w:proofErr w:type="spellEnd"/>
      <w:r>
        <w:rPr>
          <w:sz w:val="32"/>
          <w:szCs w:val="32"/>
          <w:vertAlign w:val="subscript"/>
        </w:rPr>
        <w:t>.</w:t>
      </w:r>
      <w:r>
        <w:rPr>
          <w:sz w:val="32"/>
          <w:szCs w:val="32"/>
        </w:rPr>
        <w:t xml:space="preserve"> – </w:t>
      </w:r>
      <w:r>
        <w:t xml:space="preserve">коэффициент прогнозной инфляции, определяемый и используемый заказчиком в соответствии с разделами II и </w:t>
      </w:r>
      <w:r>
        <w:rPr>
          <w:lang w:val="en-US"/>
        </w:rPr>
        <w:t>III</w:t>
      </w:r>
      <w:r>
        <w:t xml:space="preserve"> Порядка с учетом сроков выполнения таких работ (услуг), от уровня цен утвержденной сметной документации, содержащей сметную стоимость работ и (или) затрат, ранее не предусмотренных документацией, указанной в пункте 3 Методики;</w:t>
      </w:r>
    </w:p>
    <w:p w:rsidR="00DD29BD" w:rsidRDefault="00DB198A">
      <w:pPr>
        <w:spacing w:line="360" w:lineRule="exact"/>
        <w:ind w:right="-284" w:firstLine="709"/>
        <w:contextualSpacing/>
        <w:jc w:val="both"/>
      </w:pPr>
      <w:proofErr w:type="spellStart"/>
      <w:r>
        <w:rPr>
          <w:sz w:val="32"/>
          <w:szCs w:val="32"/>
        </w:rPr>
        <w:lastRenderedPageBreak/>
        <w:t>К</w:t>
      </w:r>
      <w:r>
        <w:rPr>
          <w:sz w:val="32"/>
          <w:szCs w:val="32"/>
          <w:vertAlign w:val="subscript"/>
        </w:rPr>
        <w:t>тенд</w:t>
      </w:r>
      <w:proofErr w:type="spellEnd"/>
      <w:r>
        <w:rPr>
          <w:sz w:val="32"/>
          <w:szCs w:val="32"/>
          <w:vertAlign w:val="subscript"/>
        </w:rPr>
        <w:t>.</w:t>
      </w:r>
      <w:r>
        <w:rPr>
          <w:sz w:val="32"/>
          <w:szCs w:val="32"/>
        </w:rPr>
        <w:t xml:space="preserve"> – </w:t>
      </w:r>
      <w:r>
        <w:t>коэффициент снижения НМЦК, цены контракта с единственным поставщиком (подрядчиком, исполнителем), определенный по результатам закупочных процедур.</w:t>
      </w:r>
    </w:p>
    <w:p w:rsidR="00DD29BD" w:rsidRDefault="00DB198A">
      <w:pPr>
        <w:spacing w:line="360" w:lineRule="exact"/>
        <w:ind w:right="-284" w:firstLine="709"/>
        <w:contextualSpacing/>
        <w:jc w:val="both"/>
      </w:pPr>
      <w:r>
        <w:t>35. В случае внесения изменений документацию, указанную в пункте 3 Методики, в связи с корректировкой видов и объемов работ (услуг), выполнение (оказание) которых необходимо для возведения (устройства) конструктивных решений (элементов) и (или) выполнения комплексов (видов) работ (услуг), предусмотренных сметой контракта, общая стоимость выполнения работ (оказания услуг), предусмотренных контрактом с учетом объемов изменений, внесенных документацию, указанную в пункте 3 Методики, определяется по формуле (3):</w:t>
      </w:r>
    </w:p>
    <w:p w:rsidR="00DD29BD" w:rsidRDefault="00DD29BD">
      <w:pPr>
        <w:spacing w:line="360" w:lineRule="exact"/>
        <w:ind w:right="-284" w:firstLine="709"/>
        <w:contextualSpacing/>
        <w:jc w:val="center"/>
      </w:pPr>
    </w:p>
    <w:p w:rsidR="00DD29BD" w:rsidRDefault="00DB198A">
      <w:pPr>
        <w:spacing w:line="360" w:lineRule="exact"/>
        <w:ind w:right="-284" w:firstLine="709"/>
        <w:contextualSpacing/>
        <w:jc w:val="center"/>
        <w:rPr>
          <w:sz w:val="32"/>
          <w:szCs w:val="32"/>
        </w:rPr>
      </w:pPr>
      <w:proofErr w:type="spellStart"/>
      <w:r>
        <w:rPr>
          <w:sz w:val="32"/>
          <w:szCs w:val="32"/>
        </w:rPr>
        <w:t>Ц</w:t>
      </w:r>
      <w:r>
        <w:rPr>
          <w:sz w:val="32"/>
          <w:szCs w:val="32"/>
          <w:vertAlign w:val="subscript"/>
        </w:rPr>
        <w:t>раб.кор</w:t>
      </w:r>
      <w:proofErr w:type="spellEnd"/>
      <w:r>
        <w:rPr>
          <w:sz w:val="32"/>
          <w:szCs w:val="32"/>
          <w:vertAlign w:val="subscript"/>
        </w:rPr>
        <w:t xml:space="preserve">. </w:t>
      </w:r>
      <w:r>
        <w:rPr>
          <w:sz w:val="32"/>
          <w:szCs w:val="32"/>
        </w:rPr>
        <w:t xml:space="preserve">= </w:t>
      </w:r>
      <w:proofErr w:type="spellStart"/>
      <w:r>
        <w:rPr>
          <w:sz w:val="32"/>
          <w:szCs w:val="32"/>
        </w:rPr>
        <w:t>Ц</w:t>
      </w:r>
      <w:r>
        <w:rPr>
          <w:sz w:val="32"/>
          <w:szCs w:val="32"/>
          <w:vertAlign w:val="subscript"/>
        </w:rPr>
        <w:t>ост.контр</w:t>
      </w:r>
      <w:proofErr w:type="spellEnd"/>
      <w:r>
        <w:rPr>
          <w:sz w:val="32"/>
          <w:szCs w:val="32"/>
          <w:vertAlign w:val="subscript"/>
        </w:rPr>
        <w:t xml:space="preserve">. </w:t>
      </w:r>
      <w:r>
        <w:rPr>
          <w:sz w:val="32"/>
          <w:szCs w:val="32"/>
        </w:rPr>
        <w:t xml:space="preserve">+ </w:t>
      </w:r>
      <w:proofErr w:type="spellStart"/>
      <w:r>
        <w:rPr>
          <w:sz w:val="32"/>
          <w:szCs w:val="32"/>
        </w:rPr>
        <w:t>Ц</w:t>
      </w:r>
      <w:r>
        <w:rPr>
          <w:sz w:val="32"/>
          <w:szCs w:val="32"/>
          <w:vertAlign w:val="subscript"/>
        </w:rPr>
        <w:t>кор</w:t>
      </w:r>
      <w:proofErr w:type="spellEnd"/>
      <w:r>
        <w:rPr>
          <w:sz w:val="32"/>
          <w:szCs w:val="32"/>
          <w:vertAlign w:val="subscript"/>
        </w:rPr>
        <w:t>.</w:t>
      </w:r>
      <w:r>
        <w:rPr>
          <w:sz w:val="32"/>
          <w:szCs w:val="32"/>
        </w:rPr>
        <w:t xml:space="preserve">, </w:t>
      </w:r>
      <w:r>
        <w:rPr>
          <w:szCs w:val="32"/>
        </w:rPr>
        <w:t>(3)</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r>
        <w:t>где:</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раб.кор</w:t>
      </w:r>
      <w:proofErr w:type="spellEnd"/>
      <w:r>
        <w:rPr>
          <w:sz w:val="32"/>
          <w:szCs w:val="32"/>
          <w:vertAlign w:val="subscript"/>
        </w:rPr>
        <w:t>.</w:t>
      </w:r>
      <w:r>
        <w:rPr>
          <w:vertAlign w:val="subscript"/>
        </w:rPr>
        <w:t xml:space="preserve"> </w:t>
      </w:r>
      <w:r>
        <w:t>- общая цена работ (услуг) по контракту с учетом изменения видов</w:t>
      </w:r>
      <w:r>
        <w:br/>
        <w:t>и объемов работ (услуг), выполнение (оказание) которых необходимо для возведения (устройства) конструктивных решений (элементов) и (или) выполнения комплексов (видов) работ (услуг), предусмотренных сметой контракта;</w:t>
      </w: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ост.контр</w:t>
      </w:r>
      <w:proofErr w:type="spellEnd"/>
      <w:r>
        <w:rPr>
          <w:sz w:val="32"/>
          <w:szCs w:val="32"/>
          <w:vertAlign w:val="subscript"/>
        </w:rPr>
        <w:t>.</w:t>
      </w:r>
      <w:r>
        <w:rPr>
          <w:vertAlign w:val="subscript"/>
        </w:rPr>
        <w:t xml:space="preserve"> </w:t>
      </w:r>
      <w:r>
        <w:t xml:space="preserve">- цена работ, производство которых необходимо для возведения (устройства) конструктивных решений (элементов) и (или) выполнения комплексов (видов) работ, предусмотренных сметой контракта и не претерпевших изменений </w:t>
      </w:r>
      <w:r>
        <w:br/>
        <w:t>при внесении изменений в документацию, указанную в пункте 3 Методики;</w:t>
      </w:r>
    </w:p>
    <w:p w:rsidR="00DD29BD" w:rsidRDefault="00DB198A">
      <w:pPr>
        <w:spacing w:line="360" w:lineRule="exact"/>
        <w:ind w:right="-284" w:firstLine="709"/>
        <w:contextualSpacing/>
        <w:jc w:val="both"/>
      </w:pPr>
      <w:proofErr w:type="spellStart"/>
      <w:r>
        <w:rPr>
          <w:sz w:val="32"/>
          <w:szCs w:val="32"/>
        </w:rPr>
        <w:t>Ц</w:t>
      </w:r>
      <w:r>
        <w:rPr>
          <w:sz w:val="32"/>
          <w:szCs w:val="32"/>
          <w:vertAlign w:val="subscript"/>
        </w:rPr>
        <w:t>кор</w:t>
      </w:r>
      <w:proofErr w:type="spellEnd"/>
      <w:r>
        <w:rPr>
          <w:sz w:val="32"/>
          <w:szCs w:val="32"/>
          <w:vertAlign w:val="subscript"/>
        </w:rPr>
        <w:t>.</w:t>
      </w:r>
      <w:r>
        <w:t xml:space="preserve"> - цена работ, производство которых необходимо для возведения (устройства) конструктивных решений (элементов) и (или) выполнения комплексов (видов) работ, предусмотренных сметой контракта и претерпевших изменения </w:t>
      </w:r>
      <w:r>
        <w:br/>
        <w:t>при внесении изменений документацию, указанную в пункте 3 Методики.</w:t>
      </w:r>
    </w:p>
    <w:p w:rsidR="00DD29BD" w:rsidRDefault="00DB198A">
      <w:pPr>
        <w:spacing w:line="360" w:lineRule="exact"/>
        <w:ind w:right="-284" w:firstLine="709"/>
        <w:contextualSpacing/>
        <w:jc w:val="both"/>
      </w:pPr>
      <w:r>
        <w:t xml:space="preserve">36. Цена работ (услуг), перечень и объем которых был откорректирован </w:t>
      </w:r>
      <w:r>
        <w:br/>
        <w:t xml:space="preserve">при внесении изменений в документацию, указанную в пункте 3 Методики </w:t>
      </w:r>
      <w:r>
        <w:rPr>
          <w:sz w:val="32"/>
          <w:szCs w:val="32"/>
        </w:rPr>
        <w:t>(</w:t>
      </w:r>
      <w:proofErr w:type="spellStart"/>
      <w:r>
        <w:rPr>
          <w:sz w:val="32"/>
          <w:szCs w:val="32"/>
        </w:rPr>
        <w:t>Ц</w:t>
      </w:r>
      <w:r>
        <w:rPr>
          <w:sz w:val="32"/>
          <w:szCs w:val="32"/>
          <w:vertAlign w:val="subscript"/>
        </w:rPr>
        <w:t>кор</w:t>
      </w:r>
      <w:proofErr w:type="spellEnd"/>
      <w:r>
        <w:rPr>
          <w:sz w:val="32"/>
          <w:szCs w:val="32"/>
        </w:rPr>
        <w:t>)</w:t>
      </w:r>
      <w:r>
        <w:t>, определяется по формуле (4):</w:t>
      </w:r>
    </w:p>
    <w:p w:rsidR="00DD29BD" w:rsidRDefault="00DD29BD">
      <w:pPr>
        <w:spacing w:line="360" w:lineRule="exact"/>
        <w:ind w:right="-284" w:firstLine="709"/>
        <w:contextualSpacing/>
        <w:jc w:val="both"/>
      </w:pPr>
    </w:p>
    <w:p w:rsidR="00DD29BD" w:rsidRDefault="00DB198A">
      <w:pPr>
        <w:spacing w:line="360" w:lineRule="exact"/>
        <w:ind w:right="-284" w:firstLine="709"/>
        <w:contextualSpacing/>
        <w:jc w:val="center"/>
        <w:rPr>
          <w:sz w:val="32"/>
          <w:szCs w:val="32"/>
          <w:vertAlign w:val="subscript"/>
        </w:rPr>
      </w:pPr>
      <w:proofErr w:type="spellStart"/>
      <w:r>
        <w:rPr>
          <w:sz w:val="32"/>
          <w:szCs w:val="32"/>
        </w:rPr>
        <w:t>Ц</w:t>
      </w:r>
      <w:r>
        <w:rPr>
          <w:sz w:val="32"/>
          <w:szCs w:val="32"/>
          <w:vertAlign w:val="subscript"/>
        </w:rPr>
        <w:t>кор</w:t>
      </w:r>
      <w:proofErr w:type="spellEnd"/>
      <w:r>
        <w:rPr>
          <w:sz w:val="32"/>
          <w:szCs w:val="32"/>
          <w:vertAlign w:val="subscript"/>
        </w:rPr>
        <w:t xml:space="preserve">. </w:t>
      </w:r>
      <w:r>
        <w:rPr>
          <w:sz w:val="32"/>
          <w:szCs w:val="32"/>
        </w:rPr>
        <w:t>= С</w:t>
      </w:r>
      <w:r>
        <w:rPr>
          <w:sz w:val="32"/>
          <w:szCs w:val="32"/>
          <w:vertAlign w:val="subscript"/>
        </w:rPr>
        <w:t xml:space="preserve">кор. </w:t>
      </w:r>
      <w:r>
        <w:rPr>
          <w:sz w:val="32"/>
          <w:szCs w:val="32"/>
        </w:rPr>
        <w:t xml:space="preserve">* </w:t>
      </w:r>
      <w:proofErr w:type="spellStart"/>
      <w:r>
        <w:rPr>
          <w:sz w:val="32"/>
          <w:szCs w:val="32"/>
        </w:rPr>
        <w:t>К</w:t>
      </w:r>
      <w:r>
        <w:rPr>
          <w:sz w:val="32"/>
          <w:szCs w:val="32"/>
          <w:vertAlign w:val="subscript"/>
        </w:rPr>
        <w:t>инфл</w:t>
      </w:r>
      <w:proofErr w:type="spellEnd"/>
      <w:r>
        <w:rPr>
          <w:sz w:val="32"/>
          <w:szCs w:val="32"/>
          <w:vertAlign w:val="subscript"/>
        </w:rPr>
        <w:t xml:space="preserve"> </w:t>
      </w:r>
      <w:r>
        <w:rPr>
          <w:sz w:val="32"/>
          <w:szCs w:val="32"/>
        </w:rPr>
        <w:t xml:space="preserve">* </w:t>
      </w:r>
      <w:proofErr w:type="spellStart"/>
      <w:r>
        <w:rPr>
          <w:sz w:val="32"/>
          <w:szCs w:val="32"/>
        </w:rPr>
        <w:t>К</w:t>
      </w:r>
      <w:r>
        <w:rPr>
          <w:sz w:val="32"/>
          <w:szCs w:val="32"/>
          <w:vertAlign w:val="subscript"/>
        </w:rPr>
        <w:t>тенд</w:t>
      </w:r>
      <w:proofErr w:type="spellEnd"/>
      <w:r>
        <w:rPr>
          <w:sz w:val="32"/>
          <w:szCs w:val="32"/>
        </w:rPr>
        <w:t>,</w:t>
      </w:r>
      <w:r>
        <w:rPr>
          <w:sz w:val="32"/>
          <w:szCs w:val="32"/>
          <w:vertAlign w:val="subscript"/>
        </w:rPr>
        <w:t xml:space="preserve"> </w:t>
      </w:r>
      <w:r>
        <w:rPr>
          <w:szCs w:val="32"/>
        </w:rPr>
        <w:t>(4)</w:t>
      </w:r>
    </w:p>
    <w:p w:rsidR="00DD29BD" w:rsidRDefault="00DD29BD">
      <w:pPr>
        <w:spacing w:line="360" w:lineRule="exact"/>
        <w:ind w:right="-284" w:firstLine="709"/>
        <w:contextualSpacing/>
        <w:jc w:val="center"/>
      </w:pPr>
    </w:p>
    <w:p w:rsidR="00DD29BD" w:rsidRDefault="00DB198A">
      <w:pPr>
        <w:spacing w:line="360" w:lineRule="exact"/>
        <w:ind w:right="-284" w:firstLine="709"/>
        <w:contextualSpacing/>
        <w:jc w:val="both"/>
      </w:pPr>
      <w:r>
        <w:t>где:</w:t>
      </w:r>
    </w:p>
    <w:p w:rsidR="00DD29BD" w:rsidRDefault="00DB198A">
      <w:pPr>
        <w:spacing w:line="360" w:lineRule="exact"/>
        <w:ind w:right="-284" w:firstLine="709"/>
        <w:contextualSpacing/>
        <w:jc w:val="both"/>
      </w:pPr>
      <w:r>
        <w:rPr>
          <w:sz w:val="32"/>
          <w:szCs w:val="32"/>
        </w:rPr>
        <w:t>С</w:t>
      </w:r>
      <w:r>
        <w:rPr>
          <w:sz w:val="32"/>
          <w:szCs w:val="32"/>
          <w:vertAlign w:val="subscript"/>
        </w:rPr>
        <w:t>кор.</w:t>
      </w:r>
      <w:r>
        <w:t xml:space="preserve"> – сметная стоимость видов и (или) объемом работ (услуг), откорректированных по результатам внесения изменений в документацию, указанную в пункте 3 Методики, в уровне цен утвержденной сметной документации;</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инфл</w:t>
      </w:r>
      <w:proofErr w:type="spellEnd"/>
      <w:r>
        <w:rPr>
          <w:vertAlign w:val="subscript"/>
        </w:rPr>
        <w:t xml:space="preserve"> </w:t>
      </w:r>
      <w:r>
        <w:t xml:space="preserve">- коэффициент прогнозной инфляции, определяемый и используемый заказчиком в соответствии с разделами </w:t>
      </w:r>
      <w:r>
        <w:rPr>
          <w:lang w:val="en-US"/>
        </w:rPr>
        <w:t>II</w:t>
      </w:r>
      <w:r>
        <w:t xml:space="preserve"> и </w:t>
      </w:r>
      <w:r>
        <w:rPr>
          <w:lang w:val="en-US"/>
        </w:rPr>
        <w:t>III</w:t>
      </w:r>
      <w:r>
        <w:t xml:space="preserve"> Порядка с учетом сроков выполнения </w:t>
      </w:r>
      <w:r>
        <w:lastRenderedPageBreak/>
        <w:t xml:space="preserve">таких работ (услуг), от уровня цен утвержденной сметной документации, содержащей сметную стоимость видов и (или) объемом работ (услуг), откорректированных </w:t>
      </w:r>
      <w:r>
        <w:br/>
        <w:t>по результатам внесения изменений в документацию, указанную в пункте 3 Методики;</w:t>
      </w:r>
    </w:p>
    <w:p w:rsidR="00DD29BD" w:rsidRDefault="00DB198A">
      <w:pPr>
        <w:spacing w:line="360" w:lineRule="exact"/>
        <w:ind w:right="-284" w:firstLine="709"/>
        <w:contextualSpacing/>
        <w:jc w:val="both"/>
      </w:pPr>
      <w:proofErr w:type="spellStart"/>
      <w:r>
        <w:rPr>
          <w:sz w:val="32"/>
          <w:szCs w:val="32"/>
        </w:rPr>
        <w:t>К</w:t>
      </w:r>
      <w:r>
        <w:rPr>
          <w:sz w:val="32"/>
          <w:szCs w:val="32"/>
          <w:vertAlign w:val="subscript"/>
        </w:rPr>
        <w:t>тенд</w:t>
      </w:r>
      <w:proofErr w:type="spellEnd"/>
      <w:r>
        <w:rPr>
          <w:vertAlign w:val="subscript"/>
        </w:rPr>
        <w:t xml:space="preserve"> </w:t>
      </w:r>
      <w:r>
        <w:t>- коэффициент снижения НМЦК, цены контракта с единственным поставщиком (подрядчиком, исполнителем), определенный по результатам закупочных процедур.</w:t>
      </w:r>
    </w:p>
    <w:p w:rsidR="00DD29BD" w:rsidRDefault="00DB198A">
      <w:pPr>
        <w:spacing w:line="360" w:lineRule="exact"/>
        <w:ind w:right="-284" w:firstLine="709"/>
        <w:contextualSpacing/>
        <w:jc w:val="both"/>
      </w:pPr>
      <w:r>
        <w:t>37.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и затрат осуществляется по формуле (2), указанной в пункте 35 Методики.</w:t>
      </w: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D29BD">
      <w:pPr>
        <w:spacing w:line="360" w:lineRule="exact"/>
        <w:ind w:right="-284" w:firstLine="709"/>
        <w:contextualSpacing/>
        <w:jc w:val="both"/>
      </w:pPr>
    </w:p>
    <w:p w:rsidR="00DD29BD" w:rsidRDefault="00DB198A">
      <w:pPr>
        <w:sectPr w:rsidR="00DD29BD">
          <w:pgSz w:w="11906" w:h="16838"/>
          <w:pgMar w:top="993" w:right="849" w:bottom="1134" w:left="1134" w:header="709" w:footer="709" w:gutter="0"/>
          <w:pgNumType w:start="1"/>
          <w:cols w:space="708"/>
          <w:titlePg/>
          <w:docGrid w:linePitch="360"/>
        </w:sectPr>
      </w:pPr>
      <w:r>
        <w:br w:type="page" w:clear="all"/>
      </w:r>
    </w:p>
    <w:p w:rsidR="00DD29BD" w:rsidRDefault="00DD29BD"/>
    <w:p w:rsidR="00DD29BD" w:rsidRDefault="00DB198A">
      <w:pPr>
        <w:widowControl w:val="0"/>
        <w:ind w:left="9214" w:right="110"/>
        <w:jc w:val="center"/>
        <w:rPr>
          <w:rFonts w:eastAsia="Times New Roman"/>
          <w:szCs w:val="26"/>
          <w:shd w:val="clear" w:color="auto" w:fill="FFFFFF"/>
          <w:lang w:eastAsia="ru-RU"/>
        </w:rPr>
      </w:pPr>
      <w:r>
        <w:rPr>
          <w:rFonts w:eastAsia="Times New Roman"/>
          <w:szCs w:val="26"/>
          <w:shd w:val="clear" w:color="auto" w:fill="FFFFFF"/>
          <w:lang w:eastAsia="ru-RU"/>
        </w:rPr>
        <w:t>Приложение № 1</w:t>
      </w:r>
    </w:p>
    <w:p w:rsidR="00DD29BD" w:rsidRDefault="00DB198A">
      <w:pPr>
        <w:widowControl w:val="0"/>
        <w:ind w:left="9214" w:right="110"/>
        <w:jc w:val="center"/>
        <w:rPr>
          <w:rFonts w:eastAsia="Times New Roman"/>
          <w:szCs w:val="26"/>
          <w:lang w:eastAsia="ru-RU"/>
        </w:rPr>
      </w:pPr>
      <w:r>
        <w:rPr>
          <w:rFonts w:eastAsia="Times New Roman"/>
          <w:szCs w:val="26"/>
          <w:shd w:val="clear" w:color="auto" w:fill="FFFFFF"/>
          <w:lang w:eastAsia="ru-RU"/>
        </w:rPr>
        <w:t>к Методике составления сметы контракта, утвержденной приказом Минстроя России</w:t>
      </w:r>
      <w:r>
        <w:rPr>
          <w:rFonts w:eastAsia="Times New Roman"/>
          <w:szCs w:val="26"/>
          <w:shd w:val="clear" w:color="auto" w:fill="FFFFFF"/>
          <w:lang w:eastAsia="ru-RU"/>
        </w:rPr>
        <w:br/>
        <w:t>от _______ 20___ г. №</w:t>
      </w:r>
      <w:r>
        <w:rPr>
          <w:rFonts w:eastAsia="Times New Roman"/>
          <w:szCs w:val="26"/>
          <w:shd w:val="clear" w:color="auto" w:fill="FFFFFF"/>
        </w:rPr>
        <w:t>°</w:t>
      </w:r>
      <w:r>
        <w:rPr>
          <w:rFonts w:eastAsia="Times New Roman"/>
          <w:szCs w:val="26"/>
          <w:shd w:val="clear" w:color="auto" w:fill="FFFFFF"/>
          <w:lang w:eastAsia="ru-RU"/>
        </w:rPr>
        <w:t>_____</w:t>
      </w:r>
    </w:p>
    <w:p w:rsidR="00DD29BD" w:rsidRDefault="00DD29BD">
      <w:pPr>
        <w:widowControl w:val="0"/>
        <w:ind w:left="9214" w:right="110"/>
        <w:jc w:val="center"/>
        <w:rPr>
          <w:rFonts w:eastAsia="Times New Roman"/>
          <w:sz w:val="16"/>
          <w:szCs w:val="16"/>
          <w:shd w:val="clear" w:color="auto" w:fill="FFFFFF"/>
          <w:lang w:eastAsia="ru-RU"/>
        </w:rPr>
      </w:pPr>
    </w:p>
    <w:p w:rsidR="00DD29BD" w:rsidRDefault="00DB198A">
      <w:pPr>
        <w:widowControl w:val="0"/>
        <w:ind w:left="9214" w:right="110"/>
        <w:jc w:val="center"/>
        <w:rPr>
          <w:rFonts w:eastAsia="Times New Roman"/>
          <w:szCs w:val="26"/>
          <w:lang w:eastAsia="ru-RU"/>
        </w:rPr>
      </w:pPr>
      <w:r>
        <w:rPr>
          <w:rFonts w:eastAsia="Times New Roman"/>
          <w:szCs w:val="26"/>
          <w:shd w:val="clear" w:color="auto" w:fill="FFFFFF"/>
          <w:lang w:eastAsia="ru-RU"/>
        </w:rPr>
        <w:t>(рекомендуемый образец)</w:t>
      </w:r>
    </w:p>
    <w:p w:rsidR="00DD29BD" w:rsidRDefault="00DD29BD">
      <w:pPr>
        <w:spacing w:line="360" w:lineRule="exact"/>
        <w:ind w:right="-284"/>
        <w:contextualSpacing/>
        <w:jc w:val="both"/>
      </w:pPr>
    </w:p>
    <w:p w:rsidR="00DD29BD" w:rsidRDefault="00DD29BD">
      <w:pPr>
        <w:pStyle w:val="ConsPlusNormal"/>
        <w:ind w:right="-31"/>
        <w:jc w:val="center"/>
        <w:rPr>
          <w:rFonts w:ascii="Times New Roman" w:hAnsi="Times New Roman" w:cs="Times New Roman"/>
          <w:sz w:val="28"/>
          <w:szCs w:val="28"/>
        </w:rPr>
      </w:pPr>
    </w:p>
    <w:p w:rsidR="00DD29BD" w:rsidRDefault="00DB198A">
      <w:pPr>
        <w:pStyle w:val="ConsPlusNormal"/>
        <w:ind w:right="-31"/>
        <w:jc w:val="center"/>
        <w:rPr>
          <w:rFonts w:ascii="Times New Roman" w:hAnsi="Times New Roman" w:cs="Times New Roman"/>
          <w:sz w:val="28"/>
          <w:szCs w:val="28"/>
        </w:rPr>
      </w:pPr>
      <w:r>
        <w:rPr>
          <w:rFonts w:ascii="Times New Roman" w:hAnsi="Times New Roman" w:cs="Times New Roman"/>
          <w:sz w:val="28"/>
          <w:szCs w:val="28"/>
        </w:rPr>
        <w:t xml:space="preserve">Ведомость </w:t>
      </w:r>
    </w:p>
    <w:p w:rsidR="00DD29BD" w:rsidRDefault="00DB198A">
      <w:pPr>
        <w:pStyle w:val="ConsPlusNormal"/>
        <w:ind w:right="-31"/>
        <w:jc w:val="center"/>
        <w:rPr>
          <w:rFonts w:ascii="Times New Roman" w:hAnsi="Times New Roman" w:cs="Times New Roman"/>
          <w:sz w:val="28"/>
          <w:szCs w:val="28"/>
        </w:rPr>
      </w:pPr>
      <w:r>
        <w:rPr>
          <w:rFonts w:ascii="Times New Roman" w:hAnsi="Times New Roman" w:cs="Times New Roman"/>
          <w:sz w:val="28"/>
          <w:szCs w:val="28"/>
        </w:rPr>
        <w:t>объемов конструктивных решений (элементов), комплексов (видов) работ (услуг), оборудования</w:t>
      </w:r>
    </w:p>
    <w:p w:rsidR="00DD29BD" w:rsidRDefault="00DB198A">
      <w:pPr>
        <w:pStyle w:val="ConsPlusNormal"/>
        <w:ind w:right="-31"/>
        <w:jc w:val="center"/>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DD29BD" w:rsidRDefault="00DB198A">
      <w:pPr>
        <w:pStyle w:val="ConsPlusNormal"/>
        <w:ind w:right="-31"/>
        <w:jc w:val="center"/>
        <w:rPr>
          <w:rFonts w:ascii="Times New Roman" w:hAnsi="Times New Roman" w:cs="Times New Roman"/>
          <w:sz w:val="28"/>
          <w:szCs w:val="28"/>
        </w:rPr>
      </w:pPr>
      <w:r>
        <w:rPr>
          <w:rFonts w:ascii="Times New Roman" w:hAnsi="Times New Roman" w:cs="Times New Roman"/>
          <w:sz w:val="28"/>
          <w:szCs w:val="28"/>
        </w:rPr>
        <w:t>(наименование объекта закупки)</w:t>
      </w:r>
    </w:p>
    <w:p w:rsidR="00DD29BD" w:rsidRDefault="00DD29BD">
      <w:pPr>
        <w:pStyle w:val="ConsPlusNormal"/>
        <w:jc w:val="center"/>
        <w:rPr>
          <w:rFonts w:ascii="Times New Roman" w:hAnsi="Times New Roman" w:cs="Times New Roman"/>
          <w:sz w:val="28"/>
          <w:szCs w:val="28"/>
        </w:rPr>
      </w:pPr>
    </w:p>
    <w:p w:rsidR="00DD29BD" w:rsidRDefault="00DD29BD">
      <w:pPr>
        <w:pStyle w:val="ConsPlusNormal"/>
        <w:jc w:val="both"/>
      </w:pPr>
    </w:p>
    <w:tbl>
      <w:tblPr>
        <w:tblW w:w="15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51"/>
        <w:gridCol w:w="2747"/>
        <w:gridCol w:w="3060"/>
        <w:gridCol w:w="2409"/>
        <w:gridCol w:w="820"/>
        <w:gridCol w:w="2440"/>
        <w:gridCol w:w="2126"/>
      </w:tblGrid>
      <w:tr w:rsidR="00DD29BD">
        <w:trPr>
          <w:trHeight w:val="960"/>
        </w:trPr>
        <w:tc>
          <w:tcPr>
            <w:tcW w:w="1413" w:type="dxa"/>
            <w:vAlign w:val="center"/>
          </w:tcPr>
          <w:p w:rsidR="00DD29BD" w:rsidRDefault="00DB198A">
            <w:pPr>
              <w:pStyle w:val="ConsPlusNormal"/>
              <w:jc w:val="center"/>
              <w:rPr>
                <w:rFonts w:ascii="Times New Roman" w:hAnsi="Times New Roman" w:cs="Times New Roman"/>
                <w:sz w:val="22"/>
                <w:szCs w:val="22"/>
              </w:rPr>
            </w:pPr>
            <w:r>
              <w:rPr>
                <w:rFonts w:ascii="Times New Roman" w:hAnsi="Times New Roman" w:cs="Times New Roman"/>
                <w:sz w:val="22"/>
                <w:szCs w:val="22"/>
              </w:rPr>
              <w:t>Номер строки</w:t>
            </w:r>
          </w:p>
        </w:tc>
        <w:tc>
          <w:tcPr>
            <w:tcW w:w="5958" w:type="dxa"/>
            <w:gridSpan w:val="3"/>
            <w:vAlign w:val="center"/>
          </w:tcPr>
          <w:p w:rsidR="00DD29BD" w:rsidRDefault="00DB198A">
            <w:pPr>
              <w:pStyle w:val="ConsPlusNormal"/>
              <w:jc w:val="center"/>
              <w:rPr>
                <w:rFonts w:ascii="Times New Roman" w:hAnsi="Times New Roman" w:cs="Times New Roman"/>
                <w:sz w:val="22"/>
                <w:szCs w:val="22"/>
              </w:rPr>
            </w:pPr>
            <w:r>
              <w:rPr>
                <w:rFonts w:ascii="Times New Roman" w:hAnsi="Times New Roman" w:cs="Times New Roman"/>
                <w:sz w:val="22"/>
                <w:szCs w:val="22"/>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 (услуг), оборудованию</w:t>
            </w:r>
          </w:p>
          <w:p w:rsidR="00DD29BD" w:rsidRDefault="00DB198A">
            <w:pPr>
              <w:pStyle w:val="ConsPlusNormal"/>
              <w:jc w:val="center"/>
              <w:rPr>
                <w:rFonts w:ascii="Times New Roman" w:hAnsi="Times New Roman" w:cs="Times New Roman"/>
                <w:sz w:val="22"/>
                <w:szCs w:val="22"/>
              </w:rPr>
            </w:pPr>
            <w:r>
              <w:rPr>
                <w:rFonts w:ascii="Times New Roman" w:hAnsi="Times New Roman" w:cs="Times New Roman"/>
                <w:sz w:val="22"/>
                <w:szCs w:val="22"/>
              </w:rPr>
              <w:t>(при необходимости)</w:t>
            </w:r>
          </w:p>
        </w:tc>
        <w:tc>
          <w:tcPr>
            <w:tcW w:w="2409" w:type="dxa"/>
            <w:vAlign w:val="center"/>
          </w:tcPr>
          <w:p w:rsidR="00DD29BD" w:rsidRDefault="00DB198A">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конструктивных решений (элементов), комплексов (видов) работ (услуг), оборудования</w:t>
            </w:r>
            <w:r>
              <w:rPr>
                <w:rFonts w:ascii="Times New Roman" w:hAnsi="Times New Roman" w:cs="Times New Roman"/>
                <w:sz w:val="22"/>
                <w:szCs w:val="22"/>
                <w:vertAlign w:val="superscript"/>
              </w:rPr>
              <w:t>1</w:t>
            </w:r>
          </w:p>
        </w:tc>
        <w:tc>
          <w:tcPr>
            <w:tcW w:w="3260" w:type="dxa"/>
            <w:gridSpan w:val="2"/>
            <w:vAlign w:val="center"/>
          </w:tcPr>
          <w:p w:rsidR="00DD29BD" w:rsidRDefault="00DB198A">
            <w:pPr>
              <w:pStyle w:val="ConsPlusNormal"/>
              <w:ind w:left="74" w:hanging="74"/>
              <w:jc w:val="center"/>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2126" w:type="dxa"/>
            <w:vAlign w:val="center"/>
          </w:tcPr>
          <w:p w:rsidR="00DD29BD" w:rsidRDefault="00DB198A">
            <w:pPr>
              <w:pStyle w:val="ConsPlusNormal"/>
              <w:jc w:val="center"/>
              <w:rPr>
                <w:rFonts w:ascii="Times New Roman" w:hAnsi="Times New Roman" w:cs="Times New Roman"/>
                <w:sz w:val="22"/>
                <w:szCs w:val="22"/>
              </w:rPr>
            </w:pPr>
            <w:r>
              <w:rPr>
                <w:rFonts w:ascii="Times New Roman" w:hAnsi="Times New Roman" w:cs="Times New Roman"/>
                <w:sz w:val="22"/>
                <w:szCs w:val="22"/>
              </w:rPr>
              <w:t>Количество единиц</w:t>
            </w:r>
          </w:p>
        </w:tc>
      </w:tr>
      <w:tr w:rsidR="00DD29BD">
        <w:trPr>
          <w:trHeight w:val="23"/>
        </w:trPr>
        <w:tc>
          <w:tcPr>
            <w:tcW w:w="1413" w:type="dxa"/>
          </w:tcPr>
          <w:p w:rsidR="00DD29BD" w:rsidRDefault="00DB198A">
            <w:pPr>
              <w:widowControl w:val="0"/>
              <w:jc w:val="center"/>
              <w:rPr>
                <w:sz w:val="22"/>
                <w:shd w:val="clear" w:color="auto" w:fill="FFFFFF"/>
              </w:rPr>
            </w:pPr>
            <w:r>
              <w:rPr>
                <w:sz w:val="22"/>
                <w:shd w:val="clear" w:color="auto" w:fill="FFFFFF"/>
              </w:rPr>
              <w:t>1</w:t>
            </w:r>
          </w:p>
        </w:tc>
        <w:tc>
          <w:tcPr>
            <w:tcW w:w="5958" w:type="dxa"/>
            <w:gridSpan w:val="3"/>
          </w:tcPr>
          <w:p w:rsidR="00DD29BD" w:rsidRDefault="00DB198A">
            <w:pPr>
              <w:widowControl w:val="0"/>
              <w:jc w:val="center"/>
              <w:rPr>
                <w:sz w:val="22"/>
                <w:shd w:val="clear" w:color="auto" w:fill="FFFFFF"/>
              </w:rPr>
            </w:pPr>
            <w:r>
              <w:rPr>
                <w:sz w:val="22"/>
                <w:shd w:val="clear" w:color="auto" w:fill="FFFFFF"/>
              </w:rPr>
              <w:t>2</w:t>
            </w:r>
          </w:p>
        </w:tc>
        <w:tc>
          <w:tcPr>
            <w:tcW w:w="2409" w:type="dxa"/>
          </w:tcPr>
          <w:p w:rsidR="00DD29BD" w:rsidRDefault="00DB198A">
            <w:pPr>
              <w:widowControl w:val="0"/>
              <w:jc w:val="center"/>
              <w:rPr>
                <w:sz w:val="22"/>
                <w:shd w:val="clear" w:color="auto" w:fill="FFFFFF"/>
              </w:rPr>
            </w:pPr>
            <w:r>
              <w:rPr>
                <w:sz w:val="22"/>
                <w:shd w:val="clear" w:color="auto" w:fill="FFFFFF"/>
              </w:rPr>
              <w:t>3</w:t>
            </w:r>
          </w:p>
        </w:tc>
        <w:tc>
          <w:tcPr>
            <w:tcW w:w="3260" w:type="dxa"/>
            <w:gridSpan w:val="2"/>
          </w:tcPr>
          <w:p w:rsidR="00DD29BD" w:rsidRDefault="00DB198A">
            <w:pPr>
              <w:widowControl w:val="0"/>
              <w:jc w:val="center"/>
              <w:rPr>
                <w:sz w:val="22"/>
                <w:shd w:val="clear" w:color="auto" w:fill="FFFFFF"/>
              </w:rPr>
            </w:pPr>
            <w:r>
              <w:rPr>
                <w:sz w:val="22"/>
                <w:shd w:val="clear" w:color="auto" w:fill="FFFFFF"/>
              </w:rPr>
              <w:t>4</w:t>
            </w:r>
          </w:p>
        </w:tc>
        <w:tc>
          <w:tcPr>
            <w:tcW w:w="2126" w:type="dxa"/>
          </w:tcPr>
          <w:p w:rsidR="00DD29BD" w:rsidRDefault="00DB198A">
            <w:pPr>
              <w:widowControl w:val="0"/>
              <w:jc w:val="center"/>
              <w:rPr>
                <w:sz w:val="22"/>
                <w:shd w:val="clear" w:color="auto" w:fill="FFFFFF"/>
              </w:rPr>
            </w:pPr>
            <w:r>
              <w:rPr>
                <w:sz w:val="22"/>
                <w:shd w:val="clear" w:color="auto" w:fill="FFFFFF"/>
              </w:rPr>
              <w:t>5</w:t>
            </w:r>
          </w:p>
        </w:tc>
      </w:tr>
      <w:tr w:rsidR="00DD29BD">
        <w:trPr>
          <w:trHeight w:val="23"/>
        </w:trPr>
        <w:tc>
          <w:tcPr>
            <w:tcW w:w="1413" w:type="dxa"/>
          </w:tcPr>
          <w:p w:rsidR="00DD29BD" w:rsidRDefault="00DB198A">
            <w:pPr>
              <w:widowControl w:val="0"/>
              <w:jc w:val="center"/>
              <w:rPr>
                <w:sz w:val="22"/>
                <w:shd w:val="clear" w:color="auto" w:fill="FFFFFF"/>
              </w:rPr>
            </w:pPr>
            <w:r>
              <w:rPr>
                <w:sz w:val="22"/>
                <w:shd w:val="clear" w:color="auto" w:fill="FFFFFF"/>
              </w:rPr>
              <w:t>1.</w:t>
            </w:r>
          </w:p>
        </w:tc>
        <w:tc>
          <w:tcPr>
            <w:tcW w:w="5958" w:type="dxa"/>
            <w:gridSpan w:val="3"/>
          </w:tcPr>
          <w:p w:rsidR="00DD29BD" w:rsidRDefault="00DD29BD">
            <w:pPr>
              <w:widowControl w:val="0"/>
              <w:jc w:val="center"/>
              <w:rPr>
                <w:sz w:val="18"/>
                <w:shd w:val="clear" w:color="auto" w:fill="FFFFFF"/>
              </w:rPr>
            </w:pPr>
          </w:p>
        </w:tc>
        <w:tc>
          <w:tcPr>
            <w:tcW w:w="2409" w:type="dxa"/>
          </w:tcPr>
          <w:p w:rsidR="00DD29BD" w:rsidRDefault="00DD29BD">
            <w:pPr>
              <w:widowControl w:val="0"/>
              <w:jc w:val="center"/>
              <w:rPr>
                <w:sz w:val="22"/>
                <w:shd w:val="clear" w:color="auto" w:fill="FFFFFF"/>
              </w:rPr>
            </w:pPr>
          </w:p>
        </w:tc>
        <w:tc>
          <w:tcPr>
            <w:tcW w:w="3260" w:type="dxa"/>
            <w:gridSpan w:val="2"/>
          </w:tcPr>
          <w:p w:rsidR="00DD29BD" w:rsidRDefault="00DD29BD">
            <w:pPr>
              <w:widowControl w:val="0"/>
              <w:jc w:val="center"/>
              <w:rPr>
                <w:sz w:val="22"/>
                <w:shd w:val="clear" w:color="auto" w:fill="FFFFFF"/>
              </w:rPr>
            </w:pPr>
          </w:p>
        </w:tc>
        <w:tc>
          <w:tcPr>
            <w:tcW w:w="2126" w:type="dxa"/>
          </w:tcPr>
          <w:p w:rsidR="00DD29BD" w:rsidRDefault="00DD29BD">
            <w:pPr>
              <w:widowControl w:val="0"/>
              <w:jc w:val="center"/>
              <w:rPr>
                <w:sz w:val="22"/>
                <w:shd w:val="clear" w:color="auto" w:fill="FFFFFF"/>
              </w:rPr>
            </w:pPr>
          </w:p>
        </w:tc>
      </w:tr>
      <w:tr w:rsidR="00DD29BD">
        <w:trPr>
          <w:trHeight w:val="23"/>
        </w:trPr>
        <w:tc>
          <w:tcPr>
            <w:tcW w:w="1413" w:type="dxa"/>
          </w:tcPr>
          <w:p w:rsidR="00DD29BD" w:rsidRDefault="00DB198A">
            <w:pPr>
              <w:widowControl w:val="0"/>
              <w:jc w:val="center"/>
              <w:rPr>
                <w:sz w:val="22"/>
                <w:shd w:val="clear" w:color="auto" w:fill="FFFFFF"/>
              </w:rPr>
            </w:pPr>
            <w:r>
              <w:rPr>
                <w:sz w:val="22"/>
                <w:shd w:val="clear" w:color="auto" w:fill="FFFFFF"/>
              </w:rPr>
              <w:t>2.</w:t>
            </w:r>
          </w:p>
        </w:tc>
        <w:tc>
          <w:tcPr>
            <w:tcW w:w="5958" w:type="dxa"/>
            <w:gridSpan w:val="3"/>
          </w:tcPr>
          <w:p w:rsidR="00DD29BD" w:rsidRDefault="00DD29BD">
            <w:pPr>
              <w:widowControl w:val="0"/>
              <w:jc w:val="center"/>
              <w:rPr>
                <w:sz w:val="22"/>
                <w:shd w:val="clear" w:color="auto" w:fill="FFFFFF"/>
              </w:rPr>
            </w:pPr>
          </w:p>
        </w:tc>
        <w:tc>
          <w:tcPr>
            <w:tcW w:w="2409" w:type="dxa"/>
          </w:tcPr>
          <w:p w:rsidR="00DD29BD" w:rsidRDefault="00DD29BD">
            <w:pPr>
              <w:widowControl w:val="0"/>
              <w:jc w:val="center"/>
              <w:rPr>
                <w:sz w:val="22"/>
                <w:shd w:val="clear" w:color="auto" w:fill="FFFFFF"/>
              </w:rPr>
            </w:pPr>
          </w:p>
        </w:tc>
        <w:tc>
          <w:tcPr>
            <w:tcW w:w="3260" w:type="dxa"/>
            <w:gridSpan w:val="2"/>
          </w:tcPr>
          <w:p w:rsidR="00DD29BD" w:rsidRDefault="00DD29BD">
            <w:pPr>
              <w:widowControl w:val="0"/>
              <w:jc w:val="center"/>
              <w:rPr>
                <w:sz w:val="22"/>
                <w:shd w:val="clear" w:color="auto" w:fill="FFFFFF"/>
              </w:rPr>
            </w:pPr>
          </w:p>
        </w:tc>
        <w:tc>
          <w:tcPr>
            <w:tcW w:w="2126" w:type="dxa"/>
          </w:tcPr>
          <w:p w:rsidR="00DD29BD" w:rsidRDefault="00DD29BD">
            <w:pPr>
              <w:widowControl w:val="0"/>
              <w:jc w:val="center"/>
              <w:rPr>
                <w:sz w:val="22"/>
                <w:shd w:val="clear" w:color="auto" w:fill="FFFFFF"/>
              </w:rPr>
            </w:pPr>
          </w:p>
        </w:tc>
      </w:tr>
      <w:tr w:rsidR="00DD29BD">
        <w:trPr>
          <w:trHeight w:val="227"/>
        </w:trPr>
        <w:tc>
          <w:tcPr>
            <w:tcW w:w="1413" w:type="dxa"/>
          </w:tcPr>
          <w:p w:rsidR="00DD29BD" w:rsidRDefault="00DD29BD">
            <w:pPr>
              <w:widowControl w:val="0"/>
              <w:jc w:val="center"/>
              <w:rPr>
                <w:sz w:val="22"/>
                <w:shd w:val="clear" w:color="auto" w:fill="FFFFFF"/>
              </w:rPr>
            </w:pPr>
          </w:p>
        </w:tc>
        <w:tc>
          <w:tcPr>
            <w:tcW w:w="5958" w:type="dxa"/>
            <w:gridSpan w:val="3"/>
          </w:tcPr>
          <w:p w:rsidR="00DD29BD" w:rsidRDefault="00DD29BD">
            <w:pPr>
              <w:widowControl w:val="0"/>
              <w:jc w:val="center"/>
              <w:rPr>
                <w:sz w:val="22"/>
                <w:shd w:val="clear" w:color="auto" w:fill="FFFFFF"/>
              </w:rPr>
            </w:pPr>
          </w:p>
        </w:tc>
        <w:tc>
          <w:tcPr>
            <w:tcW w:w="2409" w:type="dxa"/>
          </w:tcPr>
          <w:p w:rsidR="00DD29BD" w:rsidRDefault="00DD29BD">
            <w:pPr>
              <w:widowControl w:val="0"/>
              <w:jc w:val="center"/>
              <w:rPr>
                <w:sz w:val="22"/>
                <w:shd w:val="clear" w:color="auto" w:fill="FFFFFF"/>
              </w:rPr>
            </w:pPr>
          </w:p>
        </w:tc>
        <w:tc>
          <w:tcPr>
            <w:tcW w:w="3260" w:type="dxa"/>
            <w:gridSpan w:val="2"/>
          </w:tcPr>
          <w:p w:rsidR="00DD29BD" w:rsidRDefault="00DD29BD">
            <w:pPr>
              <w:widowControl w:val="0"/>
              <w:jc w:val="center"/>
              <w:rPr>
                <w:sz w:val="22"/>
                <w:shd w:val="clear" w:color="auto" w:fill="FFFFFF"/>
              </w:rPr>
            </w:pPr>
          </w:p>
        </w:tc>
        <w:tc>
          <w:tcPr>
            <w:tcW w:w="2126" w:type="dxa"/>
          </w:tcPr>
          <w:p w:rsidR="00DD29BD" w:rsidRDefault="00DD29BD">
            <w:pPr>
              <w:widowControl w:val="0"/>
              <w:jc w:val="center"/>
              <w:rPr>
                <w:sz w:val="22"/>
                <w:shd w:val="clear" w:color="auto" w:fill="FFFFFF"/>
              </w:rPr>
            </w:pPr>
          </w:p>
        </w:tc>
      </w:tr>
      <w:tr w:rsidR="00DD29BD">
        <w:trPr>
          <w:trHeight w:val="23"/>
        </w:trPr>
        <w:tc>
          <w:tcPr>
            <w:tcW w:w="1413" w:type="dxa"/>
          </w:tcPr>
          <w:p w:rsidR="00DD29BD" w:rsidRDefault="00DB198A">
            <w:pPr>
              <w:widowControl w:val="0"/>
              <w:jc w:val="center"/>
              <w:rPr>
                <w:sz w:val="22"/>
                <w:shd w:val="clear" w:color="auto" w:fill="FFFFFF"/>
              </w:rPr>
            </w:pPr>
            <w:r>
              <w:rPr>
                <w:sz w:val="22"/>
                <w:shd w:val="clear" w:color="auto" w:fill="FFFFFF"/>
              </w:rPr>
              <w:t>…</w:t>
            </w:r>
          </w:p>
        </w:tc>
        <w:tc>
          <w:tcPr>
            <w:tcW w:w="5958" w:type="dxa"/>
            <w:gridSpan w:val="3"/>
          </w:tcPr>
          <w:p w:rsidR="00DD29BD" w:rsidRDefault="00DD29BD">
            <w:pPr>
              <w:widowControl w:val="0"/>
              <w:jc w:val="center"/>
              <w:rPr>
                <w:sz w:val="22"/>
                <w:shd w:val="clear" w:color="auto" w:fill="FFFFFF"/>
              </w:rPr>
            </w:pPr>
          </w:p>
        </w:tc>
        <w:tc>
          <w:tcPr>
            <w:tcW w:w="2409" w:type="dxa"/>
          </w:tcPr>
          <w:p w:rsidR="00DD29BD" w:rsidRDefault="00DD29BD">
            <w:pPr>
              <w:widowControl w:val="0"/>
              <w:jc w:val="center"/>
              <w:rPr>
                <w:sz w:val="22"/>
                <w:shd w:val="clear" w:color="auto" w:fill="FFFFFF"/>
              </w:rPr>
            </w:pPr>
          </w:p>
        </w:tc>
        <w:tc>
          <w:tcPr>
            <w:tcW w:w="3260" w:type="dxa"/>
            <w:gridSpan w:val="2"/>
          </w:tcPr>
          <w:p w:rsidR="00DD29BD" w:rsidRDefault="00DD29BD">
            <w:pPr>
              <w:widowControl w:val="0"/>
              <w:jc w:val="center"/>
              <w:rPr>
                <w:sz w:val="22"/>
                <w:shd w:val="clear" w:color="auto" w:fill="FFFFFF"/>
              </w:rPr>
            </w:pPr>
          </w:p>
        </w:tc>
        <w:tc>
          <w:tcPr>
            <w:tcW w:w="2126" w:type="dxa"/>
          </w:tcPr>
          <w:p w:rsidR="00DD29BD" w:rsidRDefault="00DD29BD">
            <w:pPr>
              <w:widowControl w:val="0"/>
              <w:jc w:val="center"/>
              <w:rPr>
                <w:sz w:val="22"/>
                <w:shd w:val="clear" w:color="auto" w:fill="FFFFFF"/>
              </w:rPr>
            </w:pPr>
          </w:p>
        </w:tc>
      </w:tr>
      <w:tr w:rsidR="00DD2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566" w:type="dxa"/>
          <w:trHeight w:val="23"/>
        </w:trPr>
        <w:tc>
          <w:tcPr>
            <w:tcW w:w="1564" w:type="dxa"/>
            <w:gridSpan w:val="2"/>
          </w:tcPr>
          <w:p w:rsidR="00DD29BD" w:rsidRDefault="00DB198A">
            <w:pPr>
              <w:pStyle w:val="ConsPlusNormal"/>
              <w:rPr>
                <w:rFonts w:ascii="Times New Roman" w:hAnsi="Times New Roman" w:cs="Times New Roman"/>
                <w:sz w:val="22"/>
                <w:szCs w:val="26"/>
              </w:rPr>
            </w:pPr>
            <w:r>
              <w:rPr>
                <w:rFonts w:ascii="Times New Roman" w:hAnsi="Times New Roman" w:cs="Times New Roman"/>
                <w:sz w:val="22"/>
                <w:szCs w:val="26"/>
              </w:rPr>
              <w:t>Составил</w:t>
            </w:r>
          </w:p>
        </w:tc>
        <w:tc>
          <w:tcPr>
            <w:tcW w:w="2747" w:type="dxa"/>
          </w:tcPr>
          <w:p w:rsidR="00DD29BD" w:rsidRDefault="00DD29BD">
            <w:pPr>
              <w:pStyle w:val="ConsPlusNormal"/>
              <w:rPr>
                <w:rFonts w:ascii="Times New Roman" w:hAnsi="Times New Roman" w:cs="Times New Roman"/>
                <w:sz w:val="22"/>
                <w:szCs w:val="26"/>
              </w:rPr>
            </w:pPr>
          </w:p>
        </w:tc>
        <w:tc>
          <w:tcPr>
            <w:tcW w:w="6289" w:type="dxa"/>
            <w:gridSpan w:val="3"/>
            <w:tcBorders>
              <w:bottom w:val="single" w:sz="4" w:space="0" w:color="auto"/>
            </w:tcBorders>
          </w:tcPr>
          <w:p w:rsidR="00DD29BD" w:rsidRDefault="00DD29BD">
            <w:pPr>
              <w:pStyle w:val="ConsPlusNormal"/>
              <w:rPr>
                <w:rFonts w:ascii="Times New Roman" w:hAnsi="Times New Roman" w:cs="Times New Roman"/>
                <w:sz w:val="22"/>
                <w:szCs w:val="26"/>
              </w:rPr>
            </w:pPr>
          </w:p>
        </w:tc>
      </w:tr>
      <w:tr w:rsidR="00DD2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566" w:type="dxa"/>
          <w:trHeight w:val="23"/>
        </w:trPr>
        <w:tc>
          <w:tcPr>
            <w:tcW w:w="1564" w:type="dxa"/>
            <w:gridSpan w:val="2"/>
          </w:tcPr>
          <w:p w:rsidR="00DD29BD" w:rsidRDefault="00DD29BD">
            <w:pPr>
              <w:pStyle w:val="ConsPlusNormal"/>
              <w:rPr>
                <w:rFonts w:ascii="Times New Roman" w:hAnsi="Times New Roman" w:cs="Times New Roman"/>
                <w:sz w:val="22"/>
                <w:szCs w:val="26"/>
              </w:rPr>
            </w:pPr>
          </w:p>
        </w:tc>
        <w:tc>
          <w:tcPr>
            <w:tcW w:w="2747" w:type="dxa"/>
          </w:tcPr>
          <w:p w:rsidR="00DD29BD" w:rsidRDefault="00DD29BD">
            <w:pPr>
              <w:pStyle w:val="ConsPlusNormal"/>
              <w:rPr>
                <w:rFonts w:ascii="Times New Roman" w:hAnsi="Times New Roman" w:cs="Times New Roman"/>
                <w:sz w:val="22"/>
                <w:szCs w:val="26"/>
              </w:rPr>
            </w:pPr>
          </w:p>
        </w:tc>
        <w:tc>
          <w:tcPr>
            <w:tcW w:w="6289" w:type="dxa"/>
            <w:gridSpan w:val="3"/>
            <w:tcBorders>
              <w:top w:val="single" w:sz="4" w:space="0" w:color="auto"/>
            </w:tcBorders>
          </w:tcPr>
          <w:p w:rsidR="00DD29BD" w:rsidRDefault="00DB198A">
            <w:pPr>
              <w:pStyle w:val="ConsPlusNormal"/>
              <w:jc w:val="center"/>
              <w:rPr>
                <w:rFonts w:ascii="Times New Roman" w:hAnsi="Times New Roman" w:cs="Times New Roman"/>
                <w:sz w:val="22"/>
                <w:szCs w:val="26"/>
              </w:rPr>
            </w:pPr>
            <w:r>
              <w:rPr>
                <w:rFonts w:ascii="Times New Roman" w:hAnsi="Times New Roman" w:cs="Times New Roman"/>
                <w:sz w:val="22"/>
                <w:szCs w:val="26"/>
              </w:rPr>
              <w:t>(должность, подпись, инициалы, фамилия)</w:t>
            </w:r>
          </w:p>
        </w:tc>
      </w:tr>
      <w:tr w:rsidR="00DD2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566" w:type="dxa"/>
          <w:trHeight w:val="23"/>
        </w:trPr>
        <w:tc>
          <w:tcPr>
            <w:tcW w:w="1564" w:type="dxa"/>
            <w:gridSpan w:val="2"/>
          </w:tcPr>
          <w:p w:rsidR="00DD29BD" w:rsidRDefault="00DB198A">
            <w:pPr>
              <w:pStyle w:val="ConsPlusNormal"/>
              <w:rPr>
                <w:rFonts w:ascii="Times New Roman" w:hAnsi="Times New Roman" w:cs="Times New Roman"/>
                <w:sz w:val="22"/>
                <w:szCs w:val="26"/>
              </w:rPr>
            </w:pPr>
            <w:r>
              <w:rPr>
                <w:rFonts w:ascii="Times New Roman" w:hAnsi="Times New Roman" w:cs="Times New Roman"/>
                <w:sz w:val="22"/>
                <w:szCs w:val="26"/>
              </w:rPr>
              <w:t>Проверил</w:t>
            </w:r>
          </w:p>
        </w:tc>
        <w:tc>
          <w:tcPr>
            <w:tcW w:w="2747" w:type="dxa"/>
          </w:tcPr>
          <w:p w:rsidR="00DD29BD" w:rsidRDefault="00DD29BD">
            <w:pPr>
              <w:pStyle w:val="ConsPlusNormal"/>
              <w:rPr>
                <w:rFonts w:ascii="Times New Roman" w:hAnsi="Times New Roman" w:cs="Times New Roman"/>
                <w:sz w:val="22"/>
                <w:szCs w:val="26"/>
              </w:rPr>
            </w:pPr>
          </w:p>
        </w:tc>
        <w:tc>
          <w:tcPr>
            <w:tcW w:w="6289" w:type="dxa"/>
            <w:gridSpan w:val="3"/>
            <w:tcBorders>
              <w:bottom w:val="single" w:sz="4" w:space="0" w:color="auto"/>
            </w:tcBorders>
          </w:tcPr>
          <w:p w:rsidR="00DD29BD" w:rsidRDefault="00DD29BD">
            <w:pPr>
              <w:pStyle w:val="ConsPlusNormal"/>
              <w:rPr>
                <w:rFonts w:ascii="Times New Roman" w:hAnsi="Times New Roman" w:cs="Times New Roman"/>
                <w:sz w:val="22"/>
                <w:szCs w:val="26"/>
              </w:rPr>
            </w:pPr>
          </w:p>
        </w:tc>
      </w:tr>
      <w:tr w:rsidR="00DD2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566" w:type="dxa"/>
          <w:trHeight w:val="23"/>
        </w:trPr>
        <w:tc>
          <w:tcPr>
            <w:tcW w:w="1564" w:type="dxa"/>
            <w:gridSpan w:val="2"/>
          </w:tcPr>
          <w:p w:rsidR="00DD29BD" w:rsidRDefault="00DD29BD">
            <w:pPr>
              <w:pStyle w:val="ConsPlusNormal"/>
              <w:rPr>
                <w:rFonts w:ascii="Times New Roman" w:hAnsi="Times New Roman" w:cs="Times New Roman"/>
                <w:sz w:val="22"/>
                <w:szCs w:val="26"/>
              </w:rPr>
            </w:pPr>
          </w:p>
        </w:tc>
        <w:tc>
          <w:tcPr>
            <w:tcW w:w="2747" w:type="dxa"/>
          </w:tcPr>
          <w:p w:rsidR="00DD29BD" w:rsidRDefault="00DD29BD">
            <w:pPr>
              <w:pStyle w:val="ConsPlusNormal"/>
              <w:rPr>
                <w:rFonts w:ascii="Times New Roman" w:hAnsi="Times New Roman" w:cs="Times New Roman"/>
                <w:sz w:val="22"/>
                <w:szCs w:val="26"/>
              </w:rPr>
            </w:pPr>
          </w:p>
        </w:tc>
        <w:tc>
          <w:tcPr>
            <w:tcW w:w="6289" w:type="dxa"/>
            <w:gridSpan w:val="3"/>
            <w:tcBorders>
              <w:top w:val="single" w:sz="4" w:space="0" w:color="auto"/>
            </w:tcBorders>
          </w:tcPr>
          <w:p w:rsidR="00DD29BD" w:rsidRDefault="00DB198A">
            <w:pPr>
              <w:pStyle w:val="ConsPlusNormal"/>
              <w:jc w:val="center"/>
              <w:rPr>
                <w:rFonts w:ascii="Times New Roman" w:hAnsi="Times New Roman" w:cs="Times New Roman"/>
                <w:sz w:val="22"/>
                <w:szCs w:val="26"/>
              </w:rPr>
            </w:pPr>
            <w:r>
              <w:rPr>
                <w:rFonts w:ascii="Times New Roman" w:hAnsi="Times New Roman" w:cs="Times New Roman"/>
                <w:sz w:val="22"/>
                <w:szCs w:val="26"/>
              </w:rPr>
              <w:t>(должность, подпись, инициалы, фамилия)</w:t>
            </w:r>
          </w:p>
        </w:tc>
      </w:tr>
    </w:tbl>
    <w:p w:rsidR="00DD29BD" w:rsidRDefault="00DB198A">
      <w:pPr>
        <w:widowControl w:val="0"/>
        <w:spacing w:line="274" w:lineRule="exact"/>
        <w:ind w:right="240"/>
        <w:rPr>
          <w:rFonts w:eastAsia="Times New Roman"/>
          <w:bCs/>
          <w:sz w:val="21"/>
          <w:szCs w:val="21"/>
          <w:shd w:val="clear" w:color="auto" w:fill="FFFFFF"/>
          <w:lang w:eastAsia="ru-RU"/>
        </w:rPr>
      </w:pPr>
      <w:r>
        <w:rPr>
          <w:rFonts w:eastAsia="Times New Roman"/>
          <w:bCs/>
          <w:sz w:val="21"/>
          <w:szCs w:val="21"/>
          <w:shd w:val="clear" w:color="auto" w:fill="FFFFFF"/>
          <w:lang w:eastAsia="ru-RU"/>
        </w:rPr>
        <w:t>____________</w:t>
      </w:r>
    </w:p>
    <w:p w:rsidR="00DD29BD" w:rsidRDefault="00DD29BD">
      <w:pPr>
        <w:widowControl w:val="0"/>
        <w:spacing w:line="274" w:lineRule="exact"/>
        <w:ind w:right="240"/>
        <w:rPr>
          <w:rFonts w:eastAsia="Times New Roman"/>
          <w:bCs/>
          <w:sz w:val="21"/>
          <w:szCs w:val="21"/>
          <w:shd w:val="clear" w:color="auto" w:fill="FFFFFF"/>
          <w:lang w:eastAsia="ru-RU"/>
        </w:rPr>
      </w:pPr>
    </w:p>
    <w:p w:rsidR="00DD29BD" w:rsidRDefault="00DB198A">
      <w:pPr>
        <w:pStyle w:val="af2"/>
        <w:jc w:val="both"/>
        <w:rPr>
          <w:sz w:val="21"/>
          <w:szCs w:val="21"/>
        </w:rPr>
      </w:pPr>
      <w:r>
        <w:rPr>
          <w:rFonts w:eastAsia="Times New Roman"/>
          <w:sz w:val="21"/>
          <w:szCs w:val="21"/>
          <w:shd w:val="clear" w:color="auto" w:fill="FFFFFF"/>
          <w:vertAlign w:val="superscript"/>
          <w:lang w:eastAsia="ru-RU"/>
        </w:rPr>
        <w:t>1</w:t>
      </w:r>
      <w:r>
        <w:rPr>
          <w:rFonts w:eastAsia="Times New Roman"/>
          <w:sz w:val="21"/>
          <w:szCs w:val="21"/>
          <w:shd w:val="clear" w:color="auto" w:fill="FFFFFF"/>
          <w:lang w:eastAsia="ru-RU"/>
        </w:rPr>
        <w:t> Наименование оборудования у</w:t>
      </w:r>
      <w:r>
        <w:rPr>
          <w:sz w:val="21"/>
          <w:szCs w:val="21"/>
        </w:rPr>
        <w:t xml:space="preserve">казывается, в случае выделения такого оборудования отдельной строкой, в соответствии пунктом 7 Методики </w:t>
      </w:r>
    </w:p>
    <w:p w:rsidR="00DD29BD" w:rsidRDefault="00DD29BD">
      <w:pPr>
        <w:spacing w:line="360" w:lineRule="exact"/>
        <w:ind w:right="-284" w:firstLine="709"/>
        <w:contextualSpacing/>
        <w:jc w:val="both"/>
        <w:sectPr w:rsidR="00DD29BD">
          <w:pgSz w:w="16838" w:h="11906" w:orient="landscape"/>
          <w:pgMar w:top="849" w:right="1134" w:bottom="1134" w:left="993" w:header="709" w:footer="709" w:gutter="0"/>
          <w:pgNumType w:start="1"/>
          <w:cols w:space="708"/>
          <w:titlePg/>
          <w:docGrid w:linePitch="360"/>
        </w:sectPr>
      </w:pPr>
    </w:p>
    <w:p w:rsidR="00DD29BD" w:rsidRDefault="00DB198A">
      <w:pPr>
        <w:widowControl w:val="0"/>
        <w:ind w:left="8222" w:right="-34"/>
        <w:jc w:val="center"/>
        <w:rPr>
          <w:rFonts w:eastAsia="Times New Roman"/>
          <w:szCs w:val="26"/>
          <w:shd w:val="clear" w:color="auto" w:fill="FFFFFF"/>
          <w:lang w:eastAsia="ru-RU"/>
        </w:rPr>
      </w:pPr>
      <w:r>
        <w:rPr>
          <w:rFonts w:eastAsia="Times New Roman"/>
          <w:szCs w:val="26"/>
          <w:shd w:val="clear" w:color="auto" w:fill="FFFFFF"/>
          <w:lang w:eastAsia="ru-RU"/>
        </w:rPr>
        <w:lastRenderedPageBreak/>
        <w:t xml:space="preserve">Приложение № 2 </w:t>
      </w:r>
    </w:p>
    <w:p w:rsidR="00DD29BD" w:rsidRDefault="00DB198A">
      <w:pPr>
        <w:widowControl w:val="0"/>
        <w:ind w:left="8222" w:right="-34"/>
        <w:jc w:val="center"/>
        <w:rPr>
          <w:rFonts w:eastAsia="Times New Roman"/>
          <w:szCs w:val="26"/>
          <w:lang w:eastAsia="ru-RU"/>
        </w:rPr>
      </w:pPr>
      <w:r>
        <w:rPr>
          <w:rFonts w:eastAsia="Times New Roman"/>
          <w:szCs w:val="26"/>
          <w:shd w:val="clear" w:color="auto" w:fill="FFFFFF"/>
          <w:lang w:eastAsia="ru-RU"/>
        </w:rPr>
        <w:t xml:space="preserve">к Методике составления сметы контракта, утвержденной приказом Минстроя России </w:t>
      </w:r>
      <w:r>
        <w:rPr>
          <w:rFonts w:eastAsia="Times New Roman"/>
          <w:szCs w:val="26"/>
          <w:shd w:val="clear" w:color="auto" w:fill="FFFFFF"/>
          <w:lang w:eastAsia="ru-RU"/>
        </w:rPr>
        <w:br/>
        <w:t>от _________ 20__ г. №</w:t>
      </w:r>
      <w:r>
        <w:rPr>
          <w:rFonts w:eastAsia="Times New Roman"/>
          <w:szCs w:val="26"/>
          <w:shd w:val="clear" w:color="auto" w:fill="FFFFFF"/>
        </w:rPr>
        <w:t> </w:t>
      </w:r>
      <w:r>
        <w:rPr>
          <w:rFonts w:eastAsia="Times New Roman"/>
          <w:szCs w:val="26"/>
          <w:shd w:val="clear" w:color="auto" w:fill="FFFFFF"/>
          <w:lang w:eastAsia="ru-RU"/>
        </w:rPr>
        <w:t>____</w:t>
      </w:r>
    </w:p>
    <w:p w:rsidR="00DD29BD" w:rsidRDefault="00DD29BD">
      <w:pPr>
        <w:widowControl w:val="0"/>
        <w:ind w:left="8222" w:right="-35"/>
        <w:jc w:val="center"/>
        <w:rPr>
          <w:rFonts w:eastAsia="Times New Roman"/>
          <w:sz w:val="16"/>
          <w:szCs w:val="16"/>
          <w:shd w:val="clear" w:color="auto" w:fill="FFFFFF"/>
          <w:lang w:eastAsia="ru-RU"/>
        </w:rPr>
      </w:pPr>
    </w:p>
    <w:p w:rsidR="00DD29BD" w:rsidRDefault="00DB198A">
      <w:pPr>
        <w:widowControl w:val="0"/>
        <w:ind w:left="8222" w:right="-35"/>
        <w:jc w:val="center"/>
        <w:rPr>
          <w:rFonts w:eastAsia="Times New Roman"/>
          <w:szCs w:val="26"/>
          <w:lang w:eastAsia="ru-RU"/>
        </w:rPr>
      </w:pPr>
      <w:r>
        <w:rPr>
          <w:rFonts w:eastAsia="Times New Roman"/>
          <w:szCs w:val="26"/>
          <w:shd w:val="clear" w:color="auto" w:fill="FFFFFF"/>
          <w:lang w:eastAsia="ru-RU"/>
        </w:rPr>
        <w:t>(рекомендуемый образец)</w:t>
      </w:r>
    </w:p>
    <w:p w:rsidR="00DD29BD" w:rsidRDefault="00DD29BD">
      <w:pPr>
        <w:widowControl w:val="0"/>
        <w:contextualSpacing/>
        <w:jc w:val="center"/>
        <w:rPr>
          <w:rFonts w:eastAsia="Times New Roman"/>
          <w:sz w:val="26"/>
          <w:szCs w:val="26"/>
          <w:shd w:val="clear" w:color="auto" w:fill="FFFFFF"/>
          <w:lang w:eastAsia="ru-RU"/>
        </w:rPr>
      </w:pPr>
    </w:p>
    <w:p w:rsidR="00DD29BD" w:rsidRDefault="00DB198A">
      <w:pPr>
        <w:widowControl w:val="0"/>
        <w:contextualSpacing/>
        <w:jc w:val="center"/>
        <w:rPr>
          <w:rFonts w:eastAsia="Times New Roman"/>
          <w:sz w:val="26"/>
          <w:szCs w:val="26"/>
          <w:lang w:eastAsia="ru-RU"/>
        </w:rPr>
      </w:pPr>
      <w:r>
        <w:rPr>
          <w:rFonts w:eastAsia="Times New Roman"/>
          <w:sz w:val="26"/>
          <w:szCs w:val="26"/>
          <w:shd w:val="clear" w:color="auto" w:fill="FFFFFF"/>
          <w:lang w:eastAsia="ru-RU"/>
        </w:rPr>
        <w:t>Смета контракта</w:t>
      </w:r>
    </w:p>
    <w:p w:rsidR="00DD29BD" w:rsidRDefault="00DB198A">
      <w:pPr>
        <w:widowControl w:val="0"/>
        <w:contextualSpacing/>
        <w:jc w:val="center"/>
        <w:rPr>
          <w:rFonts w:eastAsia="Times New Roman"/>
          <w:sz w:val="26"/>
          <w:szCs w:val="26"/>
          <w:shd w:val="clear" w:color="auto" w:fill="FFFFFF"/>
          <w:lang w:eastAsia="ru-RU"/>
        </w:rPr>
      </w:pPr>
      <w:r>
        <w:rPr>
          <w:rFonts w:eastAsia="Times New Roman"/>
          <w:sz w:val="26"/>
          <w:szCs w:val="26"/>
          <w:shd w:val="clear" w:color="auto" w:fill="FFFFFF"/>
          <w:lang w:eastAsia="ru-RU"/>
        </w:rPr>
        <w:t>_________________________</w:t>
      </w:r>
    </w:p>
    <w:p w:rsidR="00DD29BD" w:rsidRDefault="00DB198A">
      <w:pPr>
        <w:widowControl w:val="0"/>
        <w:contextualSpacing/>
        <w:jc w:val="center"/>
        <w:rPr>
          <w:rFonts w:eastAsia="Times New Roman"/>
          <w:sz w:val="26"/>
          <w:szCs w:val="26"/>
          <w:shd w:val="clear" w:color="auto" w:fill="FFFFFF"/>
          <w:lang w:eastAsia="ru-RU"/>
        </w:rPr>
      </w:pPr>
      <w:r>
        <w:rPr>
          <w:rFonts w:eastAsia="Times New Roman"/>
          <w:sz w:val="26"/>
          <w:szCs w:val="26"/>
          <w:shd w:val="clear" w:color="auto" w:fill="FFFFFF"/>
          <w:lang w:eastAsia="ru-RU"/>
        </w:rPr>
        <w:t>(наименование объекта закупки)</w:t>
      </w:r>
    </w:p>
    <w:p w:rsidR="00DD29BD" w:rsidRDefault="00DD29BD">
      <w:pPr>
        <w:widowControl w:val="0"/>
        <w:contextualSpacing/>
        <w:jc w:val="center"/>
        <w:rPr>
          <w:rFonts w:eastAsia="Times New Roman"/>
          <w:sz w:val="26"/>
          <w:szCs w:val="26"/>
          <w:shd w:val="clear" w:color="auto" w:fill="FFFFFF"/>
          <w:lang w:eastAsia="ru-RU"/>
        </w:rPr>
      </w:pPr>
    </w:p>
    <w:p w:rsidR="00DD29BD" w:rsidRDefault="00DD29BD">
      <w:pPr>
        <w:widowControl w:val="0"/>
        <w:rPr>
          <w:rFonts w:eastAsia="Times New Roman"/>
          <w:sz w:val="2"/>
          <w:szCs w:val="2"/>
          <w:lang w:eastAsia="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980"/>
        <w:gridCol w:w="2084"/>
        <w:gridCol w:w="1823"/>
        <w:gridCol w:w="1951"/>
        <w:gridCol w:w="2080"/>
        <w:gridCol w:w="2082"/>
      </w:tblGrid>
      <w:tr w:rsidR="00DD29BD">
        <w:trPr>
          <w:trHeight w:val="1265"/>
        </w:trPr>
        <w:tc>
          <w:tcPr>
            <w:tcW w:w="684"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 п/п</w:t>
            </w:r>
          </w:p>
        </w:tc>
        <w:tc>
          <w:tcPr>
            <w:tcW w:w="4021" w:type="dxa"/>
            <w:vAlign w:val="center"/>
          </w:tcPr>
          <w:p w:rsidR="00DD29BD" w:rsidRDefault="00DB198A">
            <w:pPr>
              <w:widowControl w:val="0"/>
              <w:jc w:val="center"/>
              <w:rPr>
                <w:rFonts w:eastAsia="Times New Roman"/>
                <w:sz w:val="22"/>
                <w:shd w:val="clear" w:color="auto" w:fill="FFFFFF"/>
                <w:lang w:eastAsia="ru-RU"/>
              </w:rPr>
            </w:pPr>
            <w:r>
              <w:rPr>
                <w:rFonts w:eastAsia="Times New Roman"/>
                <w:bCs/>
                <w:sz w:val="22"/>
                <w:lang w:eastAsia="ru-RU"/>
              </w:rPr>
              <w:t>Наименование конструктивных решений (элементов), комплексов (видов) работ (услуг), оборудования</w:t>
            </w:r>
          </w:p>
        </w:tc>
        <w:tc>
          <w:tcPr>
            <w:tcW w:w="2099"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 xml:space="preserve">Единица </w:t>
            </w:r>
            <w:r>
              <w:rPr>
                <w:rFonts w:eastAsia="Times New Roman"/>
                <w:sz w:val="22"/>
                <w:shd w:val="clear" w:color="auto" w:fill="FFFFFF"/>
                <w:lang w:eastAsia="ru-RU"/>
              </w:rPr>
              <w:br/>
              <w:t>измерения</w:t>
            </w:r>
            <w:r>
              <w:rPr>
                <w:rFonts w:eastAsia="Times New Roman"/>
                <w:sz w:val="22"/>
                <w:shd w:val="clear" w:color="auto" w:fill="FFFFFF"/>
                <w:vertAlign w:val="superscript"/>
                <w:lang w:eastAsia="ru-RU"/>
              </w:rPr>
              <w:t>1</w:t>
            </w:r>
          </w:p>
        </w:tc>
        <w:tc>
          <w:tcPr>
            <w:tcW w:w="1832"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 xml:space="preserve">Количество </w:t>
            </w:r>
          </w:p>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единиц</w:t>
            </w:r>
          </w:p>
        </w:tc>
        <w:tc>
          <w:tcPr>
            <w:tcW w:w="1964"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Цена на единицу измерения</w:t>
            </w:r>
            <w:r>
              <w:rPr>
                <w:rFonts w:eastAsia="Times New Roman"/>
                <w:sz w:val="22"/>
                <w:shd w:val="clear" w:color="auto" w:fill="FFFFFF"/>
                <w:vertAlign w:val="superscript"/>
                <w:lang w:eastAsia="ru-RU"/>
              </w:rPr>
              <w:t>1</w:t>
            </w:r>
          </w:p>
        </w:tc>
        <w:tc>
          <w:tcPr>
            <w:tcW w:w="2096"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Стоимость всего, рублей.</w:t>
            </w:r>
            <w:r>
              <w:rPr>
                <w:rFonts w:eastAsia="Times New Roman"/>
                <w:sz w:val="22"/>
                <w:shd w:val="clear" w:color="auto" w:fill="FFFFFF"/>
                <w:vertAlign w:val="superscript"/>
                <w:lang w:eastAsia="ru-RU"/>
              </w:rPr>
              <w:t>1</w:t>
            </w:r>
          </w:p>
        </w:tc>
        <w:tc>
          <w:tcPr>
            <w:tcW w:w="2089"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Страна происхождения оборудования</w:t>
            </w:r>
            <w:r>
              <w:rPr>
                <w:rFonts w:eastAsia="Times New Roman"/>
                <w:sz w:val="22"/>
                <w:shd w:val="clear" w:color="auto" w:fill="FFFFFF"/>
                <w:vertAlign w:val="superscript"/>
                <w:lang w:eastAsia="ru-RU"/>
              </w:rPr>
              <w:t>2</w:t>
            </w:r>
          </w:p>
        </w:tc>
      </w:tr>
      <w:tr w:rsidR="00DD29BD">
        <w:trPr>
          <w:trHeight w:val="20"/>
        </w:trPr>
        <w:tc>
          <w:tcPr>
            <w:tcW w:w="684"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1</w:t>
            </w:r>
          </w:p>
        </w:tc>
        <w:tc>
          <w:tcPr>
            <w:tcW w:w="4021"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2</w:t>
            </w:r>
          </w:p>
        </w:tc>
        <w:tc>
          <w:tcPr>
            <w:tcW w:w="2099"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3</w:t>
            </w:r>
          </w:p>
        </w:tc>
        <w:tc>
          <w:tcPr>
            <w:tcW w:w="1832"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4</w:t>
            </w:r>
          </w:p>
        </w:tc>
        <w:tc>
          <w:tcPr>
            <w:tcW w:w="1964"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5</w:t>
            </w:r>
          </w:p>
        </w:tc>
        <w:tc>
          <w:tcPr>
            <w:tcW w:w="2096"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6</w:t>
            </w:r>
          </w:p>
        </w:tc>
        <w:tc>
          <w:tcPr>
            <w:tcW w:w="2089" w:type="dxa"/>
            <w:vAlign w:val="center"/>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7</w:t>
            </w:r>
          </w:p>
        </w:tc>
      </w:tr>
      <w:tr w:rsidR="00DD29BD">
        <w:trPr>
          <w:trHeight w:val="20"/>
        </w:trPr>
        <w:tc>
          <w:tcPr>
            <w:tcW w:w="684" w:type="dxa"/>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1.</w:t>
            </w:r>
          </w:p>
        </w:tc>
        <w:tc>
          <w:tcPr>
            <w:tcW w:w="4021" w:type="dxa"/>
          </w:tcPr>
          <w:p w:rsidR="00DD29BD" w:rsidRDefault="00DD29BD">
            <w:pPr>
              <w:widowControl w:val="0"/>
              <w:rPr>
                <w:rFonts w:eastAsia="Times New Roman"/>
                <w:sz w:val="22"/>
                <w:shd w:val="clear" w:color="auto" w:fill="FFFFFF"/>
                <w:lang w:eastAsia="ru-RU"/>
              </w:rPr>
            </w:pPr>
          </w:p>
        </w:tc>
        <w:tc>
          <w:tcPr>
            <w:tcW w:w="2099" w:type="dxa"/>
          </w:tcPr>
          <w:p w:rsidR="00DD29BD" w:rsidRDefault="00DD29BD">
            <w:pPr>
              <w:widowControl w:val="0"/>
              <w:rPr>
                <w:rFonts w:eastAsia="Times New Roman"/>
                <w:sz w:val="22"/>
                <w:shd w:val="clear" w:color="auto" w:fill="FFFFFF"/>
                <w:lang w:eastAsia="ru-RU"/>
              </w:rPr>
            </w:pPr>
          </w:p>
        </w:tc>
        <w:tc>
          <w:tcPr>
            <w:tcW w:w="1832" w:type="dxa"/>
          </w:tcPr>
          <w:p w:rsidR="00DD29BD" w:rsidRDefault="00DD29BD">
            <w:pPr>
              <w:widowControl w:val="0"/>
              <w:rPr>
                <w:rFonts w:eastAsia="Times New Roman"/>
                <w:sz w:val="22"/>
                <w:shd w:val="clear" w:color="auto" w:fill="FFFFFF"/>
                <w:lang w:eastAsia="ru-RU"/>
              </w:rPr>
            </w:pPr>
          </w:p>
        </w:tc>
        <w:tc>
          <w:tcPr>
            <w:tcW w:w="1964" w:type="dxa"/>
          </w:tcPr>
          <w:p w:rsidR="00DD29BD" w:rsidRDefault="00DD29BD">
            <w:pPr>
              <w:widowControl w:val="0"/>
              <w:rPr>
                <w:rFonts w:eastAsia="Times New Roman"/>
                <w:sz w:val="22"/>
                <w:shd w:val="clear" w:color="auto" w:fill="FFFFFF"/>
                <w:lang w:eastAsia="ru-RU"/>
              </w:rPr>
            </w:pPr>
          </w:p>
        </w:tc>
        <w:tc>
          <w:tcPr>
            <w:tcW w:w="2096" w:type="dxa"/>
          </w:tcPr>
          <w:p w:rsidR="00DD29BD" w:rsidRDefault="00DD29BD">
            <w:pPr>
              <w:widowControl w:val="0"/>
              <w:rPr>
                <w:rFonts w:eastAsia="Times New Roman"/>
                <w:sz w:val="22"/>
                <w:shd w:val="clear" w:color="auto" w:fill="FFFFFF"/>
                <w:lang w:eastAsia="ru-RU"/>
              </w:rPr>
            </w:pPr>
          </w:p>
        </w:tc>
        <w:tc>
          <w:tcPr>
            <w:tcW w:w="2089" w:type="dxa"/>
          </w:tcPr>
          <w:p w:rsidR="00DD29BD" w:rsidRDefault="00DD29BD">
            <w:pPr>
              <w:widowControl w:val="0"/>
              <w:rPr>
                <w:rFonts w:eastAsia="Times New Roman"/>
                <w:sz w:val="22"/>
                <w:shd w:val="clear" w:color="auto" w:fill="FFFFFF"/>
                <w:lang w:eastAsia="ru-RU"/>
              </w:rPr>
            </w:pPr>
          </w:p>
        </w:tc>
      </w:tr>
      <w:tr w:rsidR="00DD29BD">
        <w:trPr>
          <w:trHeight w:val="20"/>
        </w:trPr>
        <w:tc>
          <w:tcPr>
            <w:tcW w:w="684" w:type="dxa"/>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2.</w:t>
            </w:r>
          </w:p>
        </w:tc>
        <w:tc>
          <w:tcPr>
            <w:tcW w:w="4021" w:type="dxa"/>
          </w:tcPr>
          <w:p w:rsidR="00DD29BD" w:rsidRDefault="00DD29BD">
            <w:pPr>
              <w:widowControl w:val="0"/>
              <w:rPr>
                <w:rFonts w:eastAsia="Times New Roman"/>
                <w:sz w:val="22"/>
                <w:shd w:val="clear" w:color="auto" w:fill="FFFFFF"/>
                <w:lang w:eastAsia="ru-RU"/>
              </w:rPr>
            </w:pPr>
          </w:p>
        </w:tc>
        <w:tc>
          <w:tcPr>
            <w:tcW w:w="2099" w:type="dxa"/>
          </w:tcPr>
          <w:p w:rsidR="00DD29BD" w:rsidRDefault="00DD29BD">
            <w:pPr>
              <w:widowControl w:val="0"/>
              <w:rPr>
                <w:rFonts w:eastAsia="Times New Roman"/>
                <w:sz w:val="22"/>
                <w:shd w:val="clear" w:color="auto" w:fill="FFFFFF"/>
                <w:lang w:eastAsia="ru-RU"/>
              </w:rPr>
            </w:pPr>
          </w:p>
        </w:tc>
        <w:tc>
          <w:tcPr>
            <w:tcW w:w="1832" w:type="dxa"/>
          </w:tcPr>
          <w:p w:rsidR="00DD29BD" w:rsidRDefault="00DD29BD">
            <w:pPr>
              <w:widowControl w:val="0"/>
              <w:rPr>
                <w:rFonts w:eastAsia="Times New Roman"/>
                <w:sz w:val="22"/>
                <w:shd w:val="clear" w:color="auto" w:fill="FFFFFF"/>
                <w:lang w:eastAsia="ru-RU"/>
              </w:rPr>
            </w:pPr>
          </w:p>
        </w:tc>
        <w:tc>
          <w:tcPr>
            <w:tcW w:w="1964" w:type="dxa"/>
          </w:tcPr>
          <w:p w:rsidR="00DD29BD" w:rsidRDefault="00DD29BD">
            <w:pPr>
              <w:widowControl w:val="0"/>
              <w:rPr>
                <w:rFonts w:eastAsia="Times New Roman"/>
                <w:sz w:val="22"/>
                <w:shd w:val="clear" w:color="auto" w:fill="FFFFFF"/>
                <w:lang w:eastAsia="ru-RU"/>
              </w:rPr>
            </w:pPr>
          </w:p>
        </w:tc>
        <w:tc>
          <w:tcPr>
            <w:tcW w:w="2096" w:type="dxa"/>
          </w:tcPr>
          <w:p w:rsidR="00DD29BD" w:rsidRDefault="00DD29BD">
            <w:pPr>
              <w:widowControl w:val="0"/>
              <w:rPr>
                <w:rFonts w:eastAsia="Times New Roman"/>
                <w:sz w:val="22"/>
                <w:shd w:val="clear" w:color="auto" w:fill="FFFFFF"/>
                <w:lang w:eastAsia="ru-RU"/>
              </w:rPr>
            </w:pPr>
          </w:p>
        </w:tc>
        <w:tc>
          <w:tcPr>
            <w:tcW w:w="2089" w:type="dxa"/>
          </w:tcPr>
          <w:p w:rsidR="00DD29BD" w:rsidRDefault="00DD29BD">
            <w:pPr>
              <w:widowControl w:val="0"/>
              <w:rPr>
                <w:rFonts w:eastAsia="Times New Roman"/>
                <w:sz w:val="22"/>
                <w:shd w:val="clear" w:color="auto" w:fill="FFFFFF"/>
                <w:lang w:eastAsia="ru-RU"/>
              </w:rPr>
            </w:pPr>
          </w:p>
        </w:tc>
      </w:tr>
      <w:tr w:rsidR="00DD29BD">
        <w:trPr>
          <w:trHeight w:val="20"/>
        </w:trPr>
        <w:tc>
          <w:tcPr>
            <w:tcW w:w="684" w:type="dxa"/>
          </w:tcPr>
          <w:p w:rsidR="00DD29BD" w:rsidRDefault="00DB198A">
            <w:pPr>
              <w:widowControl w:val="0"/>
              <w:jc w:val="center"/>
              <w:rPr>
                <w:rFonts w:eastAsia="Times New Roman"/>
                <w:sz w:val="22"/>
                <w:shd w:val="clear" w:color="auto" w:fill="FFFFFF"/>
                <w:lang w:eastAsia="ru-RU"/>
              </w:rPr>
            </w:pPr>
            <w:r>
              <w:rPr>
                <w:rFonts w:eastAsia="Times New Roman"/>
                <w:sz w:val="22"/>
                <w:shd w:val="clear" w:color="auto" w:fill="FFFFFF"/>
                <w:lang w:eastAsia="ru-RU"/>
              </w:rPr>
              <w:t>…</w:t>
            </w:r>
          </w:p>
        </w:tc>
        <w:tc>
          <w:tcPr>
            <w:tcW w:w="4021" w:type="dxa"/>
          </w:tcPr>
          <w:p w:rsidR="00DD29BD" w:rsidRDefault="00DD29BD">
            <w:pPr>
              <w:widowControl w:val="0"/>
              <w:rPr>
                <w:rFonts w:eastAsia="Times New Roman"/>
                <w:sz w:val="22"/>
                <w:shd w:val="clear" w:color="auto" w:fill="FFFFFF"/>
                <w:lang w:eastAsia="ru-RU"/>
              </w:rPr>
            </w:pPr>
          </w:p>
        </w:tc>
        <w:tc>
          <w:tcPr>
            <w:tcW w:w="2099" w:type="dxa"/>
          </w:tcPr>
          <w:p w:rsidR="00DD29BD" w:rsidRDefault="00DD29BD">
            <w:pPr>
              <w:widowControl w:val="0"/>
              <w:rPr>
                <w:rFonts w:eastAsia="Times New Roman"/>
                <w:sz w:val="22"/>
                <w:shd w:val="clear" w:color="auto" w:fill="FFFFFF"/>
                <w:lang w:eastAsia="ru-RU"/>
              </w:rPr>
            </w:pPr>
          </w:p>
        </w:tc>
        <w:tc>
          <w:tcPr>
            <w:tcW w:w="1832" w:type="dxa"/>
          </w:tcPr>
          <w:p w:rsidR="00DD29BD" w:rsidRDefault="00DD29BD">
            <w:pPr>
              <w:widowControl w:val="0"/>
              <w:rPr>
                <w:rFonts w:eastAsia="Times New Roman"/>
                <w:sz w:val="22"/>
                <w:shd w:val="clear" w:color="auto" w:fill="FFFFFF"/>
                <w:lang w:eastAsia="ru-RU"/>
              </w:rPr>
            </w:pPr>
          </w:p>
        </w:tc>
        <w:tc>
          <w:tcPr>
            <w:tcW w:w="1964" w:type="dxa"/>
          </w:tcPr>
          <w:p w:rsidR="00DD29BD" w:rsidRDefault="00DD29BD">
            <w:pPr>
              <w:widowControl w:val="0"/>
              <w:rPr>
                <w:rFonts w:eastAsia="Times New Roman"/>
                <w:sz w:val="22"/>
                <w:shd w:val="clear" w:color="auto" w:fill="FFFFFF"/>
                <w:lang w:eastAsia="ru-RU"/>
              </w:rPr>
            </w:pPr>
          </w:p>
        </w:tc>
        <w:tc>
          <w:tcPr>
            <w:tcW w:w="2096" w:type="dxa"/>
          </w:tcPr>
          <w:p w:rsidR="00DD29BD" w:rsidRDefault="00DD29BD">
            <w:pPr>
              <w:widowControl w:val="0"/>
              <w:rPr>
                <w:rFonts w:eastAsia="Times New Roman"/>
                <w:sz w:val="22"/>
                <w:shd w:val="clear" w:color="auto" w:fill="FFFFFF"/>
                <w:lang w:eastAsia="ru-RU"/>
              </w:rPr>
            </w:pPr>
          </w:p>
        </w:tc>
        <w:tc>
          <w:tcPr>
            <w:tcW w:w="2089" w:type="dxa"/>
          </w:tcPr>
          <w:p w:rsidR="00DD29BD" w:rsidRDefault="00DD29BD">
            <w:pPr>
              <w:widowControl w:val="0"/>
              <w:rPr>
                <w:rFonts w:eastAsia="Times New Roman"/>
                <w:sz w:val="22"/>
                <w:shd w:val="clear" w:color="auto" w:fill="FFFFFF"/>
                <w:lang w:eastAsia="ru-RU"/>
              </w:rPr>
            </w:pPr>
          </w:p>
        </w:tc>
      </w:tr>
      <w:tr w:rsidR="00DD29BD">
        <w:trPr>
          <w:trHeight w:val="20"/>
        </w:trPr>
        <w:tc>
          <w:tcPr>
            <w:tcW w:w="684" w:type="dxa"/>
          </w:tcPr>
          <w:p w:rsidR="00DD29BD" w:rsidRDefault="00DD29BD">
            <w:pPr>
              <w:widowControl w:val="0"/>
              <w:rPr>
                <w:rFonts w:eastAsia="Times New Roman"/>
                <w:sz w:val="22"/>
                <w:shd w:val="clear" w:color="auto" w:fill="FFFFFF"/>
                <w:lang w:eastAsia="ru-RU"/>
              </w:rPr>
            </w:pPr>
          </w:p>
        </w:tc>
        <w:tc>
          <w:tcPr>
            <w:tcW w:w="4021" w:type="dxa"/>
          </w:tcPr>
          <w:p w:rsidR="00DD29BD" w:rsidRDefault="00DB198A">
            <w:pPr>
              <w:widowControl w:val="0"/>
              <w:rPr>
                <w:rFonts w:eastAsia="Times New Roman"/>
                <w:sz w:val="22"/>
                <w:shd w:val="clear" w:color="auto" w:fill="FFFFFF"/>
                <w:lang w:eastAsia="ru-RU"/>
              </w:rPr>
            </w:pPr>
            <w:r>
              <w:rPr>
                <w:rFonts w:eastAsia="Times New Roman"/>
                <w:sz w:val="22"/>
                <w:shd w:val="clear" w:color="auto" w:fill="FFFFFF"/>
                <w:lang w:eastAsia="ru-RU"/>
              </w:rPr>
              <w:t>Всего:</w:t>
            </w:r>
          </w:p>
        </w:tc>
        <w:tc>
          <w:tcPr>
            <w:tcW w:w="2099" w:type="dxa"/>
          </w:tcPr>
          <w:p w:rsidR="00DD29BD" w:rsidRDefault="00DD29BD">
            <w:pPr>
              <w:widowControl w:val="0"/>
              <w:rPr>
                <w:rFonts w:eastAsia="Times New Roman"/>
                <w:sz w:val="22"/>
                <w:shd w:val="clear" w:color="auto" w:fill="FFFFFF"/>
                <w:lang w:eastAsia="ru-RU"/>
              </w:rPr>
            </w:pPr>
          </w:p>
        </w:tc>
        <w:tc>
          <w:tcPr>
            <w:tcW w:w="1832" w:type="dxa"/>
          </w:tcPr>
          <w:p w:rsidR="00DD29BD" w:rsidRDefault="00DD29BD">
            <w:pPr>
              <w:widowControl w:val="0"/>
              <w:rPr>
                <w:rFonts w:eastAsia="Times New Roman"/>
                <w:sz w:val="22"/>
                <w:shd w:val="clear" w:color="auto" w:fill="FFFFFF"/>
                <w:lang w:eastAsia="ru-RU"/>
              </w:rPr>
            </w:pPr>
          </w:p>
        </w:tc>
        <w:tc>
          <w:tcPr>
            <w:tcW w:w="1964" w:type="dxa"/>
          </w:tcPr>
          <w:p w:rsidR="00DD29BD" w:rsidRDefault="00DD29BD">
            <w:pPr>
              <w:widowControl w:val="0"/>
              <w:rPr>
                <w:rFonts w:eastAsia="Times New Roman"/>
                <w:sz w:val="22"/>
                <w:shd w:val="clear" w:color="auto" w:fill="FFFFFF"/>
                <w:lang w:eastAsia="ru-RU"/>
              </w:rPr>
            </w:pPr>
          </w:p>
        </w:tc>
        <w:tc>
          <w:tcPr>
            <w:tcW w:w="2096" w:type="dxa"/>
          </w:tcPr>
          <w:p w:rsidR="00DD29BD" w:rsidRDefault="00DD29BD">
            <w:pPr>
              <w:widowControl w:val="0"/>
              <w:rPr>
                <w:rFonts w:eastAsia="Times New Roman"/>
                <w:sz w:val="22"/>
                <w:shd w:val="clear" w:color="auto" w:fill="FFFFFF"/>
                <w:lang w:eastAsia="ru-RU"/>
              </w:rPr>
            </w:pPr>
          </w:p>
        </w:tc>
        <w:tc>
          <w:tcPr>
            <w:tcW w:w="2089" w:type="dxa"/>
          </w:tcPr>
          <w:p w:rsidR="00DD29BD" w:rsidRDefault="00DD29BD">
            <w:pPr>
              <w:widowControl w:val="0"/>
              <w:rPr>
                <w:rFonts w:eastAsia="Times New Roman"/>
                <w:sz w:val="22"/>
                <w:shd w:val="clear" w:color="auto" w:fill="FFFFFF"/>
                <w:lang w:eastAsia="ru-RU"/>
              </w:rPr>
            </w:pPr>
          </w:p>
        </w:tc>
      </w:tr>
    </w:tbl>
    <w:p w:rsidR="00DD29BD" w:rsidRDefault="00DD29BD">
      <w:pPr>
        <w:widowControl w:val="0"/>
        <w:spacing w:line="228" w:lineRule="auto"/>
        <w:rPr>
          <w:rFonts w:eastAsia="Times New Roman"/>
          <w:sz w:val="26"/>
          <w:szCs w:val="26"/>
          <w:shd w:val="clear" w:color="auto" w:fill="FFFFFF"/>
          <w:lang w:eastAsia="ru-RU"/>
        </w:rPr>
      </w:pPr>
    </w:p>
    <w:p w:rsidR="00DD29BD" w:rsidRDefault="00DB198A">
      <w:pPr>
        <w:widowControl w:val="0"/>
        <w:rPr>
          <w:rFonts w:eastAsia="Times New Roman"/>
          <w:sz w:val="26"/>
          <w:szCs w:val="26"/>
          <w:shd w:val="clear" w:color="auto" w:fill="FFFFFF"/>
          <w:lang w:eastAsia="ru-RU"/>
        </w:rPr>
      </w:pPr>
      <w:r>
        <w:rPr>
          <w:rFonts w:eastAsia="Times New Roman"/>
          <w:sz w:val="26"/>
          <w:szCs w:val="26"/>
          <w:shd w:val="clear" w:color="auto" w:fill="FFFFFF"/>
          <w:lang w:eastAsia="ru-RU"/>
        </w:rPr>
        <w:t>Заказчик</w:t>
      </w:r>
    </w:p>
    <w:p w:rsidR="00DD29BD" w:rsidRDefault="00DB198A">
      <w:pPr>
        <w:widowControl w:val="0"/>
        <w:ind w:left="5180" w:firstLine="580"/>
        <w:rPr>
          <w:rFonts w:eastAsia="Times New Roman"/>
          <w:sz w:val="26"/>
          <w:szCs w:val="26"/>
          <w:lang w:eastAsia="ru-RU"/>
        </w:rPr>
      </w:pPr>
      <w:r>
        <w:rPr>
          <w:rFonts w:eastAsia="Times New Roman"/>
          <w:sz w:val="26"/>
          <w:szCs w:val="26"/>
          <w:lang w:eastAsia="ru-RU"/>
        </w:rPr>
        <w:t>_____________________________________</w:t>
      </w:r>
    </w:p>
    <w:p w:rsidR="00DD29BD" w:rsidRDefault="00DB198A">
      <w:pPr>
        <w:widowControl w:val="0"/>
        <w:ind w:left="1460"/>
        <w:jc w:val="center"/>
        <w:rPr>
          <w:rFonts w:eastAsia="Times New Roman"/>
          <w:sz w:val="26"/>
          <w:szCs w:val="26"/>
          <w:shd w:val="clear" w:color="auto" w:fill="FFFFFF"/>
          <w:lang w:eastAsia="ru-RU"/>
        </w:rPr>
      </w:pPr>
      <w:r>
        <w:rPr>
          <w:rFonts w:eastAsia="Times New Roman"/>
          <w:sz w:val="26"/>
          <w:szCs w:val="26"/>
          <w:shd w:val="clear" w:color="auto" w:fill="FFFFFF"/>
          <w:lang w:eastAsia="ru-RU"/>
        </w:rPr>
        <w:t>(должность, подпись, инициалы, фамилия)</w:t>
      </w:r>
    </w:p>
    <w:p w:rsidR="00DD29BD" w:rsidRDefault="00DB198A">
      <w:pPr>
        <w:widowControl w:val="0"/>
        <w:rPr>
          <w:rFonts w:eastAsia="Times New Roman"/>
          <w:sz w:val="26"/>
          <w:szCs w:val="26"/>
          <w:shd w:val="clear" w:color="auto" w:fill="FFFFFF"/>
          <w:lang w:eastAsia="ru-RU"/>
        </w:rPr>
      </w:pPr>
      <w:r>
        <w:rPr>
          <w:rFonts w:eastAsia="Times New Roman"/>
          <w:sz w:val="26"/>
          <w:szCs w:val="26"/>
          <w:shd w:val="clear" w:color="auto" w:fill="FFFFFF"/>
          <w:lang w:eastAsia="ru-RU"/>
        </w:rPr>
        <w:t>Подрядчик</w:t>
      </w:r>
    </w:p>
    <w:p w:rsidR="00DD29BD" w:rsidRDefault="00DB198A">
      <w:pPr>
        <w:widowControl w:val="0"/>
        <w:ind w:left="5180" w:firstLine="580"/>
        <w:rPr>
          <w:rFonts w:eastAsia="Times New Roman"/>
          <w:sz w:val="26"/>
          <w:szCs w:val="26"/>
          <w:lang w:eastAsia="ru-RU"/>
        </w:rPr>
      </w:pPr>
      <w:r>
        <w:rPr>
          <w:rFonts w:eastAsia="Times New Roman"/>
          <w:sz w:val="26"/>
          <w:szCs w:val="26"/>
          <w:lang w:eastAsia="ru-RU"/>
        </w:rPr>
        <w:t>_____________________________________</w:t>
      </w:r>
    </w:p>
    <w:p w:rsidR="00DD29BD" w:rsidRDefault="00DB198A">
      <w:pPr>
        <w:widowControl w:val="0"/>
        <w:ind w:left="1460"/>
        <w:jc w:val="center"/>
        <w:rPr>
          <w:rFonts w:eastAsia="Times New Roman"/>
          <w:sz w:val="26"/>
          <w:szCs w:val="26"/>
          <w:shd w:val="clear" w:color="auto" w:fill="FFFFFF"/>
          <w:lang w:eastAsia="ru-RU"/>
        </w:rPr>
      </w:pPr>
      <w:r>
        <w:rPr>
          <w:rFonts w:eastAsia="Times New Roman"/>
          <w:sz w:val="26"/>
          <w:szCs w:val="26"/>
          <w:shd w:val="clear" w:color="auto" w:fill="FFFFFF"/>
          <w:lang w:eastAsia="ru-RU"/>
        </w:rPr>
        <w:t>(должность, подпись, инициалы, фамилия)</w:t>
      </w:r>
    </w:p>
    <w:p w:rsidR="00DD29BD" w:rsidRDefault="00DB198A">
      <w:pPr>
        <w:widowControl w:val="0"/>
        <w:ind w:right="238"/>
        <w:rPr>
          <w:rFonts w:eastAsia="Times New Roman"/>
          <w:bCs/>
          <w:sz w:val="21"/>
          <w:szCs w:val="21"/>
          <w:shd w:val="clear" w:color="auto" w:fill="FFFFFF"/>
          <w:lang w:eastAsia="ru-RU"/>
        </w:rPr>
      </w:pPr>
      <w:r>
        <w:rPr>
          <w:rFonts w:eastAsia="Times New Roman"/>
          <w:bCs/>
          <w:sz w:val="21"/>
          <w:szCs w:val="21"/>
          <w:shd w:val="clear" w:color="auto" w:fill="FFFFFF"/>
          <w:lang w:eastAsia="ru-RU"/>
        </w:rPr>
        <w:t>____________</w:t>
      </w:r>
    </w:p>
    <w:p w:rsidR="00DD29BD" w:rsidRDefault="00DB198A">
      <w:pPr>
        <w:widowControl w:val="0"/>
        <w:ind w:right="-31"/>
        <w:jc w:val="both"/>
        <w:rPr>
          <w:rFonts w:eastAsia="Times New Roman"/>
          <w:bCs/>
          <w:sz w:val="21"/>
          <w:szCs w:val="21"/>
          <w:lang w:eastAsia="ru-RU"/>
        </w:rPr>
      </w:pPr>
      <w:r>
        <w:rPr>
          <w:rFonts w:eastAsia="Times New Roman"/>
          <w:bCs/>
          <w:sz w:val="21"/>
          <w:szCs w:val="21"/>
          <w:shd w:val="clear" w:color="auto" w:fill="FFFFFF"/>
          <w:vertAlign w:val="superscript"/>
          <w:lang w:eastAsia="ru-RU"/>
        </w:rPr>
        <w:t>1</w:t>
      </w:r>
      <w:r>
        <w:rPr>
          <w:rFonts w:eastAsia="Times New Roman"/>
          <w:bCs/>
          <w:sz w:val="21"/>
          <w:szCs w:val="21"/>
          <w:lang w:eastAsia="ru-RU"/>
        </w:rPr>
        <w:t> Является равнозначной для всех участников закупки независимо от применяемой ими системы налогообложения.</w:t>
      </w:r>
    </w:p>
    <w:p w:rsidR="00DD29BD" w:rsidRDefault="00DB198A">
      <w:pPr>
        <w:widowControl w:val="0"/>
        <w:ind w:right="-31"/>
        <w:jc w:val="both"/>
        <w:rPr>
          <w:rFonts w:eastAsia="Times New Roman"/>
          <w:bCs/>
          <w:sz w:val="21"/>
          <w:szCs w:val="21"/>
          <w:lang w:eastAsia="ru-RU"/>
        </w:rPr>
      </w:pPr>
      <w:r>
        <w:rPr>
          <w:rFonts w:eastAsia="Times New Roman"/>
          <w:bCs/>
          <w:sz w:val="21"/>
          <w:szCs w:val="21"/>
          <w:vertAlign w:val="superscript"/>
          <w:lang w:eastAsia="ru-RU"/>
        </w:rPr>
        <w:t>2</w:t>
      </w:r>
      <w:r>
        <w:rPr>
          <w:rFonts w:eastAsia="Times New Roman"/>
          <w:bCs/>
          <w:sz w:val="21"/>
          <w:szCs w:val="21"/>
          <w:lang w:eastAsia="ru-RU"/>
        </w:rPr>
        <w:t xml:space="preserve">Указывается в отношении оборудования, подлежащего принятию заказчиком к бухгалтерскому учету в качестве объектов основных средств, в соответствии </w:t>
      </w:r>
      <w:r>
        <w:rPr>
          <w:rFonts w:eastAsia="Times New Roman"/>
          <w:bCs/>
          <w:sz w:val="21"/>
          <w:szCs w:val="21"/>
          <w:lang w:eastAsia="ru-RU"/>
        </w:rPr>
        <w:br/>
        <w:t xml:space="preserve">с предложением участника закупки по объекту закупки, с которым заключается контракт </w:t>
      </w:r>
    </w:p>
    <w:p w:rsidR="00DD29BD" w:rsidRDefault="00DD29BD">
      <w:pPr>
        <w:spacing w:line="360" w:lineRule="exact"/>
        <w:ind w:right="-284" w:firstLine="709"/>
        <w:contextualSpacing/>
        <w:jc w:val="both"/>
      </w:pPr>
    </w:p>
    <w:p w:rsidR="00DD29BD" w:rsidRDefault="00DD29BD">
      <w:pPr>
        <w:widowControl w:val="0"/>
        <w:spacing w:after="274"/>
        <w:ind w:right="-34"/>
        <w:rPr>
          <w:rFonts w:eastAsia="Times New Roman"/>
          <w:bCs/>
          <w:sz w:val="21"/>
          <w:szCs w:val="21"/>
          <w:lang w:eastAsia="ru-RU"/>
        </w:rPr>
      </w:pPr>
    </w:p>
    <w:sectPr w:rsidR="00DD29BD">
      <w:pgSz w:w="16838" w:h="11906" w:orient="landscape"/>
      <w:pgMar w:top="707" w:right="1134" w:bottom="1134"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BD" w:rsidRDefault="00DB198A">
      <w:r>
        <w:separator/>
      </w:r>
    </w:p>
  </w:endnote>
  <w:endnote w:type="continuationSeparator" w:id="0">
    <w:p w:rsidR="00DD29BD" w:rsidRDefault="00DB198A">
      <w:r>
        <w:continuationSeparator/>
      </w:r>
    </w:p>
  </w:endnote>
  <w:endnote w:type="continuationNotice" w:id="1">
    <w:p w:rsidR="00DD29BD" w:rsidRDefault="00DD2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 w:name="ArialMT">
    <w:charset w:val="00"/>
    <w:family w:val="auto"/>
    <w:pitch w:val="default"/>
  </w:font>
  <w:font w:name="Cambria Math">
    <w:panose1 w:val="02040503050406030204"/>
    <w:charset w:val="CC"/>
    <w:family w:val="roman"/>
    <w:pitch w:val="variable"/>
    <w:sig w:usb0="20000287" w:usb1="00000000"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BD" w:rsidRDefault="00DB198A">
      <w:r>
        <w:separator/>
      </w:r>
    </w:p>
  </w:footnote>
  <w:footnote w:type="continuationSeparator" w:id="0">
    <w:p w:rsidR="00DD29BD" w:rsidRDefault="00DB198A">
      <w:r>
        <w:continuationSeparator/>
      </w:r>
    </w:p>
  </w:footnote>
  <w:footnote w:type="continuationNotice" w:id="1">
    <w:p w:rsidR="00DD29BD" w:rsidRDefault="00DD29BD"/>
  </w:footnote>
  <w:footnote w:id="2">
    <w:p w:rsidR="00DD29BD" w:rsidRDefault="00DB198A">
      <w:pPr>
        <w:pStyle w:val="af2"/>
        <w:jc w:val="both"/>
      </w:pPr>
      <w:r>
        <w:rPr>
          <w:rStyle w:val="af4"/>
        </w:rPr>
        <w:footnoteRef/>
      </w:r>
      <w:r>
        <w:t xml:space="preserve"> Зарегистрирован Минюстом России 3 февраля 2020 г., регистрационный № 57401 (с изменениями, внесенными приказами Минстроя России от 21 июля 2021 г. № 500/</w:t>
      </w:r>
      <w:proofErr w:type="spellStart"/>
      <w:r>
        <w:t>пр</w:t>
      </w:r>
      <w:proofErr w:type="spellEnd"/>
      <w:r>
        <w:t xml:space="preserve"> (зарегистрирован Минюстом России </w:t>
      </w:r>
      <w:r>
        <w:br/>
        <w:t>13 августа 2021 г., регистрационный № 64642), от 7 октября 2021 г. № 728/</w:t>
      </w:r>
      <w:proofErr w:type="spellStart"/>
      <w:r>
        <w:t>пр</w:t>
      </w:r>
      <w:proofErr w:type="spellEnd"/>
      <w:r>
        <w:t xml:space="preserve"> (зарегистрирован Минюстом России </w:t>
      </w:r>
      <w:r>
        <w:br/>
        <w:t>2 декабря 2021 г., регистрационный № 66180), от 25 февраля 2022 г. № 124/</w:t>
      </w:r>
      <w:proofErr w:type="spellStart"/>
      <w:r>
        <w:t>пр</w:t>
      </w:r>
      <w:proofErr w:type="spellEnd"/>
      <w:r>
        <w:t xml:space="preserve"> (зарегистрирован Минюстом России </w:t>
      </w:r>
      <w:r>
        <w:br/>
        <w:t>27 апреля 2022 г., регистрационный № 68345), от 14 июня 2022 г. № 484/</w:t>
      </w:r>
      <w:proofErr w:type="spellStart"/>
      <w:r>
        <w:t>пр</w:t>
      </w:r>
      <w:proofErr w:type="spellEnd"/>
      <w:r>
        <w:t xml:space="preserve"> (зарегистрирован Минюстом России</w:t>
      </w:r>
      <w:r>
        <w:br/>
        <w:t>4 октября 2022 г., регистрационный № 70372.</w:t>
      </w:r>
    </w:p>
  </w:footnote>
  <w:footnote w:id="3">
    <w:p w:rsidR="00DD29BD" w:rsidRDefault="00DB198A">
      <w:pPr>
        <w:pStyle w:val="af2"/>
        <w:jc w:val="both"/>
      </w:pPr>
      <w:r>
        <w:rPr>
          <w:rStyle w:val="af4"/>
        </w:rPr>
        <w:footnoteRef/>
      </w:r>
      <w:r>
        <w:t xml:space="preserve"> В соответствии со статьей 8</w:t>
      </w:r>
      <w:r>
        <w:rPr>
          <w:vertAlign w:val="superscript"/>
        </w:rPr>
        <w:t>4</w:t>
      </w:r>
      <w:r>
        <w:t xml:space="preserve"> Кодекса.</w:t>
      </w:r>
    </w:p>
  </w:footnote>
  <w:footnote w:id="4">
    <w:p w:rsidR="00DD29BD" w:rsidRDefault="00DB198A">
      <w:pPr>
        <w:pStyle w:val="af2"/>
        <w:jc w:val="both"/>
      </w:pPr>
      <w:r>
        <w:rPr>
          <w:rStyle w:val="af4"/>
        </w:rPr>
        <w:footnoteRef/>
      </w:r>
      <w:r>
        <w:t xml:space="preserve"> В соответствии со статьей 57</w:t>
      </w:r>
      <w:r>
        <w:rPr>
          <w:vertAlign w:val="superscript"/>
        </w:rPr>
        <w:t>2</w:t>
      </w:r>
      <w:r>
        <w:t xml:space="preserve"> Кодекса.</w:t>
      </w:r>
    </w:p>
  </w:footnote>
  <w:footnote w:id="5">
    <w:p w:rsidR="00DD29BD" w:rsidRDefault="00DB198A">
      <w:pPr>
        <w:pStyle w:val="af2"/>
      </w:pPr>
      <w:r>
        <w:rPr>
          <w:rStyle w:val="af4"/>
        </w:rPr>
        <w:footnoteRef/>
      </w:r>
      <w:r>
        <w:t xml:space="preserve"> В соответствии со статьей 743 Гражданского кодекса Российской Федерации.</w:t>
      </w:r>
    </w:p>
  </w:footnote>
  <w:footnote w:id="6">
    <w:p w:rsidR="00DD29BD" w:rsidRDefault="00DB198A">
      <w:pPr>
        <w:pStyle w:val="af2"/>
        <w:jc w:val="both"/>
      </w:pPr>
      <w:r>
        <w:rPr>
          <w:rStyle w:val="af4"/>
        </w:rPr>
        <w:footnoteRef/>
      </w:r>
      <w:r>
        <w:t xml:space="preserve"> В соответствии с подпунктом «б» пункта 10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t>пр</w:t>
      </w:r>
      <w:proofErr w:type="spellEnd"/>
      <w:r>
        <w:t xml:space="preserve"> (зарегистрирован в Минюсте России 23 сентября 2020 № 59986) С изменениями, внесенными приказами Минстроя России от 7 июля 2022 г. № 557/</w:t>
      </w:r>
      <w:proofErr w:type="spellStart"/>
      <w:r>
        <w:t>пр</w:t>
      </w:r>
      <w:proofErr w:type="spellEnd"/>
      <w:r>
        <w:t xml:space="preserve"> (зарегистрирован Минюстом России </w:t>
      </w:r>
      <w:r>
        <w:br/>
        <w:t>31 августа 2022 г., регистрационный № 69860) и от 30 января 2024 г. № 55/</w:t>
      </w:r>
      <w:proofErr w:type="spellStart"/>
      <w:r>
        <w:t>пр</w:t>
      </w:r>
      <w:proofErr w:type="spellEnd"/>
      <w:r>
        <w:t xml:space="preserve"> (зарегистрирован Минюстом России 28 марта </w:t>
      </w:r>
      <w:r>
        <w:br/>
        <w:t>2024 г., регистрационный № 77679) и от 23 января 2025 г. № 30/</w:t>
      </w:r>
      <w:proofErr w:type="spellStart"/>
      <w:r>
        <w:t>пр</w:t>
      </w:r>
      <w:proofErr w:type="spellEnd"/>
      <w:r>
        <w:t xml:space="preserve"> (зарегистрирован Минюстом России 13 марта 2025 г. № 81529).</w:t>
      </w:r>
    </w:p>
  </w:footnote>
  <w:footnote w:id="7">
    <w:p w:rsidR="00DD29BD" w:rsidRDefault="00DB198A">
      <w:pPr>
        <w:pStyle w:val="af2"/>
        <w:jc w:val="both"/>
      </w:pPr>
      <w:r>
        <w:rPr>
          <w:rStyle w:val="af4"/>
        </w:rPr>
        <w:footnoteRef/>
      </w:r>
      <w:r>
        <w:t xml:space="preserve"> В соответствии с подпунктом «в» пункта 10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t>пр</w:t>
      </w:r>
      <w:proofErr w:type="spellEnd"/>
      <w:r>
        <w:t xml:space="preserve"> (зарегистрирован в Минюсте России 23 сентября 2020 № 59986) С изменениями, внесенными приказами Минстроя России от 7 июля 2022 г. № 557/</w:t>
      </w:r>
      <w:proofErr w:type="spellStart"/>
      <w:r>
        <w:t>пр</w:t>
      </w:r>
      <w:proofErr w:type="spellEnd"/>
      <w:r>
        <w:t xml:space="preserve"> (зарегистрирован Минюстом России </w:t>
      </w:r>
      <w:r>
        <w:br/>
        <w:t>31 августа 2022 г., регистрационный № 69860) и от 30 января 2024 г. № 55/</w:t>
      </w:r>
      <w:proofErr w:type="spellStart"/>
      <w:r>
        <w:t>пр</w:t>
      </w:r>
      <w:proofErr w:type="spellEnd"/>
      <w:r>
        <w:t xml:space="preserve"> (зарегистрирован Минюстом России 28 марта </w:t>
      </w:r>
      <w:r>
        <w:br/>
        <w:t>2024 г., регистрационный № 77679) и от 23 января 2025 г. № 30/</w:t>
      </w:r>
      <w:proofErr w:type="spellStart"/>
      <w:r>
        <w:t>пр</w:t>
      </w:r>
      <w:proofErr w:type="spellEnd"/>
      <w:r>
        <w:t xml:space="preserve"> (зарегистрирован Минюстом России 13 марта 2025 г. № 81529).</w:t>
      </w:r>
    </w:p>
  </w:footnote>
  <w:footnote w:id="8">
    <w:p w:rsidR="00DD29BD" w:rsidRDefault="00DB198A">
      <w:pPr>
        <w:pStyle w:val="af2"/>
        <w:jc w:val="both"/>
      </w:pPr>
      <w:r>
        <w:rPr>
          <w:rStyle w:val="af4"/>
        </w:rPr>
        <w:footnoteRef/>
      </w:r>
      <w:r>
        <w:t xml:space="preserve"> В соответствии со статьей 8</w:t>
      </w:r>
      <w:r>
        <w:rPr>
          <w:vertAlign w:val="superscript"/>
        </w:rPr>
        <w:t>4</w:t>
      </w:r>
      <w:r>
        <w:t xml:space="preserve"> Кодекса.</w:t>
      </w:r>
    </w:p>
  </w:footnote>
  <w:footnote w:id="9">
    <w:p w:rsidR="00DD29BD" w:rsidRDefault="00DB198A">
      <w:pPr>
        <w:pStyle w:val="af2"/>
        <w:jc w:val="both"/>
      </w:pPr>
      <w:r>
        <w:rPr>
          <w:rStyle w:val="af4"/>
        </w:rPr>
        <w:footnoteRef/>
      </w:r>
      <w:r>
        <w:t xml:space="preserve"> В соответствии со статьей 57</w:t>
      </w:r>
      <w:r>
        <w:rPr>
          <w:vertAlign w:val="superscript"/>
        </w:rPr>
        <w:t>2</w:t>
      </w:r>
      <w:r>
        <w:t xml:space="preserve"> Кодекса.</w:t>
      </w:r>
    </w:p>
  </w:footnote>
  <w:footnote w:id="10">
    <w:p w:rsidR="00DD29BD" w:rsidRDefault="00DB198A">
      <w:pPr>
        <w:pStyle w:val="af2"/>
      </w:pPr>
      <w:r>
        <w:rPr>
          <w:rStyle w:val="af4"/>
        </w:rPr>
        <w:footnoteRef/>
      </w:r>
      <w:r>
        <w:t xml:space="preserve"> В соответствии со статьей 743 Гражданского кодекса Российской Федерации.</w:t>
      </w:r>
    </w:p>
  </w:footnote>
  <w:footnote w:id="11">
    <w:p w:rsidR="00DD29BD" w:rsidRDefault="00DB198A">
      <w:pPr>
        <w:pStyle w:val="af2"/>
        <w:jc w:val="both"/>
      </w:pPr>
      <w:r>
        <w:rPr>
          <w:rStyle w:val="af4"/>
        </w:rPr>
        <w:footnoteRef/>
      </w:r>
      <w:r>
        <w:t xml:space="preserve"> С изменениями, внесенными приказами Минстроя России от 7 июля 2022 г. № 557/</w:t>
      </w:r>
      <w:proofErr w:type="spellStart"/>
      <w:r>
        <w:t>пр</w:t>
      </w:r>
      <w:proofErr w:type="spellEnd"/>
      <w:r>
        <w:t xml:space="preserve"> (зарегистрирован Минюстом России </w:t>
      </w:r>
      <w:r>
        <w:br/>
        <w:t>31 августа 2022 г., регистрационный № 69860) и от 30 января 2024 г. № 55/</w:t>
      </w:r>
      <w:proofErr w:type="spellStart"/>
      <w:r>
        <w:t>пр</w:t>
      </w:r>
      <w:proofErr w:type="spellEnd"/>
      <w:r>
        <w:t xml:space="preserve"> (зарегистрирован Минюстом России </w:t>
      </w:r>
      <w:r>
        <w:br/>
        <w:t>28 марта 2024 г., регистрационный № 77679) и от 23 января 2025 г. № 30/</w:t>
      </w:r>
      <w:proofErr w:type="spellStart"/>
      <w:r>
        <w:t>пр</w:t>
      </w:r>
      <w:proofErr w:type="spellEnd"/>
      <w:r>
        <w:t xml:space="preserve"> (зарегистрирован Минюстом России</w:t>
      </w:r>
      <w:r>
        <w:br/>
        <w:t xml:space="preserve"> 13 марта 2025 г. № 81529).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9BD" w:rsidRDefault="00DB198A">
    <w:pPr>
      <w:pStyle w:val="ab"/>
      <w:jc w:val="center"/>
    </w:pPr>
    <w:r>
      <w:fldChar w:fldCharType="begin"/>
    </w:r>
    <w:r>
      <w:instrText>PAGE   \* MERGEFORMAT</w:instrText>
    </w:r>
    <w:r>
      <w:fldChar w:fldCharType="separate"/>
    </w:r>
    <w:r w:rsidR="00060EA2">
      <w:rPr>
        <w:noProof/>
      </w:rPr>
      <w:t>5</w:t>
    </w:r>
    <w:r>
      <w:fldChar w:fldCharType="end"/>
    </w:r>
  </w:p>
  <w:p w:rsidR="00DD29BD" w:rsidRDefault="00DD29B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466"/>
    <w:multiLevelType w:val="hybridMultilevel"/>
    <w:tmpl w:val="0B869590"/>
    <w:lvl w:ilvl="0" w:tplc="0419000F">
      <w:start w:val="1"/>
      <w:numFmt w:val="decimal"/>
      <w:lvlText w:val="%1."/>
      <w:lvlJc w:val="left"/>
      <w:pPr>
        <w:ind w:left="502" w:hanging="360"/>
      </w:pPr>
    </w:lvl>
    <w:lvl w:ilvl="1" w:tplc="04190019">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1" w15:restartNumberingAfterBreak="0">
    <w:nsid w:val="077C4A50"/>
    <w:multiLevelType w:val="hybridMultilevel"/>
    <w:tmpl w:val="26D8AD2A"/>
    <w:lvl w:ilvl="0" w:tplc="3A3A2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99D5B9C"/>
    <w:multiLevelType w:val="hybridMultilevel"/>
    <w:tmpl w:val="9260EB6C"/>
    <w:lvl w:ilvl="0" w:tplc="CB1CA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BD"/>
    <w:rsid w:val="00060EA2"/>
    <w:rsid w:val="00DB198A"/>
    <w:rsid w:val="00DD2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8B69"/>
  <w15:docId w15:val="{9656DE0B-E185-4469-8070-BA550D1C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semiHidden/>
    <w:unhideWhenUsed/>
    <w:rPr>
      <w:color w:val="0563C1"/>
      <w:u w:val="single"/>
    </w:rPr>
  </w:style>
  <w:style w:type="paragraph" w:styleId="af2">
    <w:name w:val="footnote text"/>
    <w:basedOn w:val="a"/>
    <w:link w:val="af3"/>
    <w:uiPriority w:val="99"/>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Segoe UI" w:hAnsi="Segoe UI" w:cs="Segoe UI"/>
      <w:sz w:val="18"/>
      <w:szCs w:val="18"/>
    </w:rPr>
  </w:style>
  <w:style w:type="character" w:customStyle="1" w:styleId="afb">
    <w:name w:val="Текст выноски Знак"/>
    <w:link w:val="afa"/>
    <w:uiPriority w:val="99"/>
    <w:semiHidden/>
    <w:rPr>
      <w:rFonts w:ascii="Segoe UI" w:hAnsi="Segoe UI" w:cs="Segoe UI"/>
      <w:sz w:val="18"/>
      <w:szCs w:val="18"/>
    </w:rPr>
  </w:style>
  <w:style w:type="character" w:customStyle="1" w:styleId="ac">
    <w:name w:val="Верхний колонтитул Знак"/>
    <w:link w:val="ab"/>
    <w:uiPriority w:val="99"/>
    <w:rPr>
      <w:rFonts w:ascii="Times New Roman" w:hAnsi="Times New Roman"/>
      <w:sz w:val="28"/>
    </w:rPr>
  </w:style>
  <w:style w:type="character" w:customStyle="1" w:styleId="ae">
    <w:name w:val="Нижний колонтитул Знак"/>
    <w:link w:val="ad"/>
    <w:uiPriority w:val="99"/>
    <w:rPr>
      <w:rFonts w:ascii="Times New Roman" w:hAnsi="Times New Roman"/>
      <w:sz w:val="28"/>
    </w:rPr>
  </w:style>
  <w:style w:type="character" w:customStyle="1" w:styleId="fontstyle01">
    <w:name w:val="fontstyle01"/>
    <w:rPr>
      <w:rFonts w:ascii="ArialMT" w:hAnsi="ArialMT"/>
      <w:color w:val="000000"/>
      <w:sz w:val="30"/>
      <w:szCs w:val="30"/>
    </w:rPr>
  </w:style>
  <w:style w:type="paragraph" w:styleId="afc">
    <w:name w:val="Normal (Web)"/>
    <w:basedOn w:val="a"/>
    <w:uiPriority w:val="99"/>
    <w:unhideWhenUsed/>
    <w:pPr>
      <w:spacing w:before="100" w:beforeAutospacing="1" w:after="100" w:afterAutospacing="1"/>
    </w:pPr>
    <w:rPr>
      <w:rFonts w:eastAsia="Times New Roman"/>
      <w:sz w:val="24"/>
      <w:szCs w:val="24"/>
      <w:lang w:eastAsia="ru-RU"/>
    </w:rPr>
  </w:style>
  <w:style w:type="paragraph" w:customStyle="1" w:styleId="ConsPlusNormal">
    <w:name w:val="ConsPlusNormal"/>
    <w:pPr>
      <w:widowControl w:val="0"/>
    </w:pPr>
    <w:rPr>
      <w:rFonts w:ascii="Arial" w:eastAsia="Arial" w:hAnsi="Arial" w:cs="Arial"/>
    </w:rPr>
  </w:style>
  <w:style w:type="character" w:styleId="afd">
    <w:name w:val="annotation reference"/>
    <w:uiPriority w:val="99"/>
    <w:semiHidden/>
    <w:unhideWhenUsed/>
    <w:rPr>
      <w:sz w:val="16"/>
      <w:szCs w:val="16"/>
    </w:rPr>
  </w:style>
  <w:style w:type="paragraph" w:styleId="afe">
    <w:name w:val="annotation text"/>
    <w:basedOn w:val="a"/>
    <w:link w:val="aff"/>
    <w:uiPriority w:val="99"/>
    <w:semiHidden/>
    <w:unhideWhenUsed/>
    <w:rPr>
      <w:sz w:val="20"/>
      <w:szCs w:val="20"/>
    </w:rPr>
  </w:style>
  <w:style w:type="character" w:customStyle="1" w:styleId="aff">
    <w:name w:val="Текст примечания Знак"/>
    <w:link w:val="afe"/>
    <w:uiPriority w:val="99"/>
    <w:semiHidden/>
    <w:rPr>
      <w:rFonts w:ascii="Times New Roman" w:hAnsi="Times New Roman"/>
      <w:lang w:eastAsia="en-US"/>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link w:val="aff0"/>
    <w:uiPriority w:val="99"/>
    <w:semiHidden/>
    <w:rPr>
      <w:rFonts w:ascii="Times New Roman" w:hAnsi="Times New Roman"/>
      <w:b/>
      <w:bCs/>
      <w:lang w:eastAsia="en-US"/>
    </w:rPr>
  </w:style>
  <w:style w:type="character" w:styleId="aff2">
    <w:name w:val="Placeholder Text"/>
    <w:uiPriority w:val="99"/>
    <w:semiHidden/>
    <w:rPr>
      <w:color w:val="808080"/>
    </w:rPr>
  </w:style>
  <w:style w:type="paragraph" w:styleId="aff3">
    <w:name w:val="Revision"/>
    <w:hidden/>
    <w:uiPriority w:val="99"/>
    <w:semiHidden/>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B6D6-B6FD-4329-911B-FF39CC94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9140</Words>
  <Characters>52104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Александр Юрьевич</dc:creator>
  <cp:keywords/>
  <cp:lastModifiedBy>Нартова Елена Александровна</cp:lastModifiedBy>
  <cp:revision>3</cp:revision>
  <cp:lastPrinted>2026-03-04T09:09:00Z</cp:lastPrinted>
  <dcterms:created xsi:type="dcterms:W3CDTF">2026-03-13T06:41:00Z</dcterms:created>
  <dcterms:modified xsi:type="dcterms:W3CDTF">2026-03-13T10:02:00Z</dcterms:modified>
  <cp:version>1048576</cp:version>
</cp:coreProperties>
</file>